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8A2E8" w14:textId="349A0B50" w:rsidR="004917B3" w:rsidRDefault="006A0E64" w:rsidP="004917B3">
      <w:pPr>
        <w:pStyle w:val="Web"/>
        <w:ind w:firstLineChars="177" w:firstLine="425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</w:t>
      </w:r>
      <w:r w:rsidR="004917B3">
        <w:rPr>
          <w:rFonts w:ascii="標楷體" w:eastAsia="標楷體" w:hAnsi="標楷體" w:hint="eastAsia"/>
          <w:b/>
        </w:rPr>
        <w:t xml:space="preserve"> </w:t>
      </w:r>
      <w:r w:rsidR="005473AE">
        <w:rPr>
          <w:rFonts w:ascii="標楷體" w:eastAsia="標楷體" w:hAnsi="標楷體" w:hint="eastAsia"/>
          <w:b/>
        </w:rPr>
        <w:t xml:space="preserve">     </w:t>
      </w:r>
      <w:r>
        <w:rPr>
          <w:rFonts w:ascii="標楷體" w:eastAsia="標楷體" w:hAnsi="標楷體" w:hint="eastAsia"/>
          <w:b/>
        </w:rPr>
        <w:t>自體血小板濃厚血漿</w:t>
      </w:r>
      <w:r w:rsidR="005473AE">
        <w:rPr>
          <w:rFonts w:ascii="標楷體" w:eastAsia="標楷體" w:hAnsi="標楷體" w:hint="eastAsia"/>
          <w:b/>
        </w:rPr>
        <w:t>(</w:t>
      </w:r>
      <w:r w:rsidR="005473AE">
        <w:rPr>
          <w:rFonts w:ascii="標楷體" w:eastAsia="標楷體" w:hAnsi="標楷體"/>
          <w:b/>
        </w:rPr>
        <w:t>PRP)</w:t>
      </w:r>
      <w:r w:rsidR="005473AE">
        <w:rPr>
          <w:rFonts w:ascii="標楷體" w:eastAsia="標楷體" w:hAnsi="標楷體" w:hint="eastAsia"/>
          <w:b/>
        </w:rPr>
        <w:t xml:space="preserve">於嗅覺障礙的應用       </w:t>
      </w:r>
      <w:r w:rsidR="004917B3" w:rsidRPr="004917B3">
        <w:rPr>
          <w:rFonts w:ascii="標楷體" w:eastAsia="標楷體" w:hAnsi="標楷體"/>
          <w:b/>
        </w:rPr>
        <w:t>趙勻</w:t>
      </w:r>
      <w:proofErr w:type="gramStart"/>
      <w:r w:rsidR="004917B3" w:rsidRPr="004917B3">
        <w:rPr>
          <w:rFonts w:ascii="標楷體" w:eastAsia="標楷體" w:hAnsi="標楷體"/>
          <w:b/>
        </w:rPr>
        <w:t>廷</w:t>
      </w:r>
      <w:proofErr w:type="gramEnd"/>
      <w:r w:rsidR="004917B3" w:rsidRPr="004917B3">
        <w:rPr>
          <w:rFonts w:ascii="標楷體" w:eastAsia="標楷體" w:hAnsi="標楷體"/>
          <w:b/>
        </w:rPr>
        <w:t>醫師</w:t>
      </w:r>
    </w:p>
    <w:p w14:paraId="17D5AE87" w14:textId="4AABF171" w:rsidR="00BC6AEA" w:rsidRPr="00BC6AEA" w:rsidRDefault="00BC6AEA" w:rsidP="00BC6AEA">
      <w:pPr>
        <w:ind w:firstLineChars="177" w:firstLine="425"/>
        <w:jc w:val="both"/>
        <w:rPr>
          <w:rFonts w:eastAsia="標楷體" w:cstheme="minorHAnsi"/>
        </w:rPr>
      </w:pPr>
      <w:r w:rsidRPr="00BC6AEA">
        <w:rPr>
          <w:rFonts w:eastAsia="標楷體" w:cstheme="minorHAnsi" w:hint="eastAsia"/>
        </w:rPr>
        <w:t>新冠</w:t>
      </w:r>
      <w:proofErr w:type="gramStart"/>
      <w:r w:rsidRPr="00BC6AEA">
        <w:rPr>
          <w:rFonts w:eastAsia="標楷體" w:cstheme="minorHAnsi" w:hint="eastAsia"/>
        </w:rPr>
        <w:t>疫情後</w:t>
      </w:r>
      <w:proofErr w:type="gramEnd"/>
      <w:r w:rsidRPr="00BC6AEA">
        <w:rPr>
          <w:rFonts w:eastAsia="標楷體" w:cstheme="minorHAnsi" w:hint="eastAsia"/>
        </w:rPr>
        <w:t>，嗅覺障礙的議題受到前所未有的重視。除了病毒感染外，常見原因尚包括慢性鼻竇炎合併鼻息肉等發炎性疾病、頭部外傷，以及神經退化性疾病等。近年隨著生物製劑的發展，第二</w:t>
      </w:r>
      <w:bookmarkStart w:id="0" w:name="_GoBack"/>
      <w:bookmarkEnd w:id="0"/>
      <w:r w:rsidRPr="00BC6AEA">
        <w:rPr>
          <w:rFonts w:eastAsia="標楷體" w:cstheme="minorHAnsi" w:hint="eastAsia"/>
        </w:rPr>
        <w:t>型慢性鼻竇炎所致的嗅覺喪失已有突破性的治療方案。然而，其他病因所造成的嗅覺障礙，至今仍缺乏單一明確且有效的治療方法。</w:t>
      </w:r>
    </w:p>
    <w:p w14:paraId="24F444FD" w14:textId="415A5D4F" w:rsidR="00BC6AEA" w:rsidRPr="00BC6AEA" w:rsidRDefault="00BC6AEA" w:rsidP="00BC6AEA">
      <w:pPr>
        <w:ind w:firstLineChars="177" w:firstLine="425"/>
        <w:jc w:val="both"/>
        <w:rPr>
          <w:rFonts w:eastAsia="標楷體" w:cstheme="minorHAnsi"/>
        </w:rPr>
      </w:pPr>
      <w:r w:rsidRPr="00BC6AEA">
        <w:rPr>
          <w:rFonts w:eastAsia="標楷體" w:cstheme="minorHAnsi" w:hint="eastAsia"/>
        </w:rPr>
        <w:t>文獻中曾報導多種治療方式，包括針灸、</w:t>
      </w:r>
      <w:proofErr w:type="gramStart"/>
      <w:r w:rsidRPr="00BC6AEA">
        <w:rPr>
          <w:rFonts w:eastAsia="標楷體" w:cstheme="minorHAnsi" w:hint="eastAsia"/>
        </w:rPr>
        <w:t>口服鋅劑</w:t>
      </w:r>
      <w:proofErr w:type="gramEnd"/>
      <w:r w:rsidRPr="00BC6AEA">
        <w:rPr>
          <w:rFonts w:eastAsia="標楷體" w:cstheme="minorHAnsi" w:hint="eastAsia"/>
        </w:rPr>
        <w:t>、硫辛酸（</w:t>
      </w:r>
      <w:proofErr w:type="spellStart"/>
      <w:r w:rsidRPr="00BC6AEA">
        <w:rPr>
          <w:rFonts w:eastAsia="標楷體" w:cstheme="minorHAnsi" w:hint="eastAsia"/>
        </w:rPr>
        <w:t>lipoic</w:t>
      </w:r>
      <w:proofErr w:type="spellEnd"/>
      <w:r w:rsidRPr="00BC6AEA">
        <w:rPr>
          <w:rFonts w:eastAsia="標楷體" w:cstheme="minorHAnsi" w:hint="eastAsia"/>
        </w:rPr>
        <w:t xml:space="preserve"> acid</w:t>
      </w:r>
      <w:r w:rsidRPr="00BC6AEA">
        <w:rPr>
          <w:rFonts w:eastAsia="標楷體" w:cstheme="minorHAnsi" w:hint="eastAsia"/>
        </w:rPr>
        <w:t>）、茶鹼（</w:t>
      </w:r>
      <w:r w:rsidRPr="00BC6AEA">
        <w:rPr>
          <w:rFonts w:eastAsia="標楷體" w:cstheme="minorHAnsi" w:hint="eastAsia"/>
        </w:rPr>
        <w:t>theophylline</w:t>
      </w:r>
      <w:r w:rsidRPr="00BC6AEA">
        <w:rPr>
          <w:rFonts w:eastAsia="標楷體" w:cstheme="minorHAnsi" w:hint="eastAsia"/>
        </w:rPr>
        <w:t>）、深海魚油（</w:t>
      </w:r>
      <w:r w:rsidRPr="00BC6AEA">
        <w:rPr>
          <w:rFonts w:eastAsia="標楷體" w:cstheme="minorHAnsi" w:hint="eastAsia"/>
        </w:rPr>
        <w:t>Omega-3</w:t>
      </w:r>
      <w:r w:rsidRPr="00BC6AEA">
        <w:rPr>
          <w:rFonts w:eastAsia="標楷體" w:cstheme="minorHAnsi" w:hint="eastAsia"/>
        </w:rPr>
        <w:t>）、日本漢方藥劑</w:t>
      </w:r>
      <w:proofErr w:type="spellStart"/>
      <w:r w:rsidRPr="00BC6AEA">
        <w:rPr>
          <w:rFonts w:eastAsia="標楷體" w:cstheme="minorHAnsi" w:hint="eastAsia"/>
        </w:rPr>
        <w:t>Tokishakuyakusa</w:t>
      </w:r>
      <w:proofErr w:type="spellEnd"/>
      <w:r w:rsidRPr="00BC6AEA">
        <w:rPr>
          <w:rFonts w:eastAsia="標楷體" w:cstheme="minorHAnsi" w:hint="eastAsia"/>
        </w:rPr>
        <w:t>，以及鼻內使用胰島素、</w:t>
      </w:r>
      <w:proofErr w:type="gramStart"/>
      <w:r w:rsidRPr="00BC6AEA">
        <w:rPr>
          <w:rFonts w:eastAsia="標楷體" w:cstheme="minorHAnsi" w:hint="eastAsia"/>
        </w:rPr>
        <w:t>檸檬酸鈉與維生素</w:t>
      </w:r>
      <w:proofErr w:type="gramEnd"/>
      <w:r w:rsidRPr="00BC6AEA">
        <w:rPr>
          <w:rFonts w:eastAsia="標楷體" w:cstheme="minorHAnsi" w:hint="eastAsia"/>
        </w:rPr>
        <w:t>A</w:t>
      </w:r>
      <w:r w:rsidRPr="00BC6AEA">
        <w:rPr>
          <w:rFonts w:eastAsia="標楷體" w:cstheme="minorHAnsi" w:hint="eastAsia"/>
        </w:rPr>
        <w:t>等，皆有一定的研究證據，但仍缺乏大型臨床試驗以確立其療效。另一方面，歷經逾十五年發展的嗅覺訓練，已被證實為一種安全且有效的行為治療方式，可作為主要或輔助治療。然而其整體有效率仍僅約</w:t>
      </w:r>
      <w:r w:rsidRPr="00BC6AEA">
        <w:rPr>
          <w:rFonts w:eastAsia="標楷體" w:cstheme="minorHAnsi" w:hint="eastAsia"/>
        </w:rPr>
        <w:t>20%</w:t>
      </w:r>
      <w:r w:rsidRPr="00BC6AEA">
        <w:rPr>
          <w:rFonts w:eastAsia="標楷體" w:cstheme="minorHAnsi" w:hint="eastAsia"/>
        </w:rPr>
        <w:t>至</w:t>
      </w:r>
      <w:r w:rsidRPr="00BC6AEA">
        <w:rPr>
          <w:rFonts w:eastAsia="標楷體" w:cstheme="minorHAnsi" w:hint="eastAsia"/>
        </w:rPr>
        <w:t>60%</w:t>
      </w:r>
      <w:r w:rsidRPr="00BC6AEA">
        <w:rPr>
          <w:rFonts w:eastAsia="標楷體" w:cstheme="minorHAnsi" w:hint="eastAsia"/>
        </w:rPr>
        <w:t>。</w:t>
      </w:r>
    </w:p>
    <w:p w14:paraId="18D7F176" w14:textId="42BA70B2" w:rsidR="00BC6AEA" w:rsidRPr="00BC6AEA" w:rsidRDefault="00BC6AEA" w:rsidP="00BC6AEA">
      <w:pPr>
        <w:ind w:firstLineChars="177" w:firstLine="425"/>
        <w:jc w:val="both"/>
        <w:rPr>
          <w:rFonts w:eastAsia="標楷體" w:cstheme="minorHAnsi"/>
        </w:rPr>
      </w:pPr>
      <w:r w:rsidRPr="00BC6AEA">
        <w:rPr>
          <w:rFonts w:eastAsia="標楷體" w:cstheme="minorHAnsi" w:hint="eastAsia"/>
        </w:rPr>
        <w:t>自體血小板濃厚血漿（</w:t>
      </w:r>
      <w:r w:rsidRPr="00BC6AEA">
        <w:rPr>
          <w:rFonts w:eastAsia="標楷體" w:cstheme="minorHAnsi" w:hint="eastAsia"/>
        </w:rPr>
        <w:t>platelet-rich plasma, PRP</w:t>
      </w:r>
      <w:r w:rsidRPr="00BC6AEA">
        <w:rPr>
          <w:rFonts w:eastAsia="標楷體" w:cstheme="minorHAnsi" w:hint="eastAsia"/>
        </w:rPr>
        <w:t>）為自體血液所製備的生物製劑，富含多種生長因子，包括血小板衍生生長因子（</w:t>
      </w:r>
      <w:r w:rsidRPr="00BC6AEA">
        <w:rPr>
          <w:rFonts w:eastAsia="標楷體" w:cstheme="minorHAnsi" w:hint="eastAsia"/>
        </w:rPr>
        <w:t>PDGF</w:t>
      </w:r>
      <w:r w:rsidRPr="00BC6AEA">
        <w:rPr>
          <w:rFonts w:eastAsia="標楷體" w:cstheme="minorHAnsi" w:hint="eastAsia"/>
        </w:rPr>
        <w:t>）、轉化生長因子β（</w:t>
      </w:r>
      <w:r w:rsidRPr="00BC6AEA">
        <w:rPr>
          <w:rFonts w:eastAsia="標楷體" w:cstheme="minorHAnsi" w:hint="eastAsia"/>
        </w:rPr>
        <w:t>TGF-</w:t>
      </w:r>
      <w:r w:rsidRPr="00BC6AEA">
        <w:rPr>
          <w:rFonts w:eastAsia="標楷體" w:cstheme="minorHAnsi" w:hint="eastAsia"/>
        </w:rPr>
        <w:t>β）、血管內皮生長因子（</w:t>
      </w:r>
      <w:r w:rsidRPr="00BC6AEA">
        <w:rPr>
          <w:rFonts w:eastAsia="標楷體" w:cstheme="minorHAnsi" w:hint="eastAsia"/>
        </w:rPr>
        <w:t>VEGF</w:t>
      </w:r>
      <w:r w:rsidRPr="00BC6AEA">
        <w:rPr>
          <w:rFonts w:eastAsia="標楷體" w:cstheme="minorHAnsi" w:hint="eastAsia"/>
        </w:rPr>
        <w:t>）、類胰島素生長因子（</w:t>
      </w:r>
      <w:r w:rsidRPr="00BC6AEA">
        <w:rPr>
          <w:rFonts w:eastAsia="標楷體" w:cstheme="minorHAnsi" w:hint="eastAsia"/>
        </w:rPr>
        <w:t>IGF-1</w:t>
      </w:r>
      <w:r w:rsidRPr="00BC6AEA">
        <w:rPr>
          <w:rFonts w:eastAsia="標楷體" w:cstheme="minorHAnsi" w:hint="eastAsia"/>
        </w:rPr>
        <w:t>）、肝細胞生長因子（</w:t>
      </w:r>
      <w:r w:rsidRPr="00BC6AEA">
        <w:rPr>
          <w:rFonts w:eastAsia="標楷體" w:cstheme="minorHAnsi" w:hint="eastAsia"/>
        </w:rPr>
        <w:t>HGF</w:t>
      </w:r>
      <w:r w:rsidRPr="00BC6AEA">
        <w:rPr>
          <w:rFonts w:eastAsia="標楷體" w:cstheme="minorHAnsi" w:hint="eastAsia"/>
        </w:rPr>
        <w:t>）及表皮生長因子（</w:t>
      </w:r>
      <w:r w:rsidRPr="00BC6AEA">
        <w:rPr>
          <w:rFonts w:eastAsia="標楷體" w:cstheme="minorHAnsi" w:hint="eastAsia"/>
        </w:rPr>
        <w:t>EGF</w:t>
      </w:r>
      <w:r w:rsidRPr="00BC6AEA">
        <w:rPr>
          <w:rFonts w:eastAsia="標楷體" w:cstheme="minorHAnsi" w:hint="eastAsia"/>
        </w:rPr>
        <w:t>）等。這些因子具抗發炎、促進組織修復、血管新生與神經再生等作用。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已廣泛應用於骨科、皮膚科及牙科領域，如治療關節炎、慢性傷口與牙周疾病等。其在神經修復領域的潛力亦逐漸受到重視，包含周邊神經損傷、脊髓損傷及突發性耳聾的初步臨床研究皆顯示其可能療效。</w:t>
      </w:r>
    </w:p>
    <w:p w14:paraId="399561B0" w14:textId="3F08AF14" w:rsidR="00BC6AEA" w:rsidRPr="00BC6AEA" w:rsidRDefault="00BC6AEA" w:rsidP="00BC6AEA">
      <w:pPr>
        <w:ind w:firstLineChars="177" w:firstLine="425"/>
        <w:jc w:val="both"/>
        <w:rPr>
          <w:rFonts w:eastAsia="標楷體" w:cstheme="minorHAnsi"/>
        </w:rPr>
      </w:pPr>
      <w:r w:rsidRPr="00BC6AEA">
        <w:rPr>
          <w:rFonts w:eastAsia="標楷體" w:cstheme="minorHAnsi" w:hint="eastAsia"/>
        </w:rPr>
        <w:t>在嗅覺障礙的應用方面，最早於</w:t>
      </w:r>
      <w:r w:rsidRPr="00BC6AEA">
        <w:rPr>
          <w:rFonts w:eastAsia="標楷體" w:cstheme="minorHAnsi" w:hint="eastAsia"/>
        </w:rPr>
        <w:t>2016</w:t>
      </w:r>
      <w:r w:rsidRPr="00BC6AEA">
        <w:rPr>
          <w:rFonts w:eastAsia="標楷體" w:cstheme="minorHAnsi" w:hint="eastAsia"/>
        </w:rPr>
        <w:t>年匈牙利學者進行前驅研究，於五位嗅覺喪失患者的</w:t>
      </w:r>
      <w:proofErr w:type="gramStart"/>
      <w:r w:rsidRPr="00BC6AEA">
        <w:rPr>
          <w:rFonts w:eastAsia="標楷體" w:cstheme="minorHAnsi" w:hint="eastAsia"/>
        </w:rPr>
        <w:t>嗅裂區</w:t>
      </w:r>
      <w:proofErr w:type="gramEnd"/>
      <w:r w:rsidRPr="00BC6AEA">
        <w:rPr>
          <w:rFonts w:eastAsia="標楷體" w:cstheme="minorHAnsi" w:hint="eastAsia"/>
        </w:rPr>
        <w:t>注射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，其中四位主訴嗅覺恢復。隨後</w:t>
      </w:r>
      <w:r w:rsidRPr="00BC6AEA">
        <w:rPr>
          <w:rFonts w:eastAsia="標楷體" w:cstheme="minorHAnsi" w:hint="eastAsia"/>
        </w:rPr>
        <w:t>2020</w:t>
      </w:r>
      <w:r w:rsidRPr="00BC6AEA">
        <w:rPr>
          <w:rFonts w:eastAsia="標楷體" w:cstheme="minorHAnsi" w:hint="eastAsia"/>
        </w:rPr>
        <w:t>年美國史丹佛大學的研究中，針對七位持續六個月以上的嗅覺喪失患者進行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注射，結果顯示嗅覺筆試分數顯著提升。這些令人振奮的結果促使後續更多臨床研究，特別是在新冠</w:t>
      </w:r>
      <w:proofErr w:type="gramStart"/>
      <w:r w:rsidRPr="00BC6AEA">
        <w:rPr>
          <w:rFonts w:eastAsia="標楷體" w:cstheme="minorHAnsi" w:hint="eastAsia"/>
        </w:rPr>
        <w:t>疫情後</w:t>
      </w:r>
      <w:proofErr w:type="gramEnd"/>
      <w:r w:rsidRPr="00BC6AEA">
        <w:rPr>
          <w:rFonts w:eastAsia="標楷體" w:cstheme="minorHAnsi" w:hint="eastAsia"/>
        </w:rPr>
        <w:t>，陸續有多項臨床試驗（包含隨機對照及安慰劑對照研究）與統合分析，證實</w:t>
      </w:r>
      <w:r w:rsidRPr="00BC6AEA">
        <w:rPr>
          <w:rFonts w:eastAsia="標楷體" w:cstheme="minorHAnsi" w:hint="eastAsia"/>
        </w:rPr>
        <w:t>PRP</w:t>
      </w:r>
      <w:proofErr w:type="gramStart"/>
      <w:r w:rsidRPr="00BC6AEA">
        <w:rPr>
          <w:rFonts w:eastAsia="標楷體" w:cstheme="minorHAnsi" w:hint="eastAsia"/>
        </w:rPr>
        <w:t>對</w:t>
      </w:r>
      <w:r>
        <w:rPr>
          <w:rFonts w:eastAsia="標楷體" w:cstheme="minorHAnsi" w:hint="eastAsia"/>
        </w:rPr>
        <w:t>新冠病毒</w:t>
      </w:r>
      <w:proofErr w:type="gramEnd"/>
      <w:r>
        <w:rPr>
          <w:rFonts w:eastAsia="標楷體" w:cstheme="minorHAnsi" w:hint="eastAsia"/>
        </w:rPr>
        <w:t>所致</w:t>
      </w:r>
      <w:r w:rsidRPr="00BC6AEA">
        <w:rPr>
          <w:rFonts w:eastAsia="標楷體" w:cstheme="minorHAnsi" w:hint="eastAsia"/>
        </w:rPr>
        <w:t>嗅覺喪失的治療潛力。部分研究報告顯示，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組中高達</w:t>
      </w:r>
      <w:r w:rsidRPr="00BC6AEA">
        <w:rPr>
          <w:rFonts w:eastAsia="標楷體" w:cstheme="minorHAnsi" w:hint="eastAsia"/>
        </w:rPr>
        <w:t>87%</w:t>
      </w:r>
      <w:r w:rsidRPr="00BC6AEA">
        <w:rPr>
          <w:rFonts w:eastAsia="標楷體" w:cstheme="minorHAnsi" w:hint="eastAsia"/>
        </w:rPr>
        <w:t>的患者達到最小臨床顯著差異（</w:t>
      </w:r>
      <w:r w:rsidRPr="00BC6AEA">
        <w:rPr>
          <w:rFonts w:eastAsia="標楷體" w:cstheme="minorHAnsi" w:hint="eastAsia"/>
        </w:rPr>
        <w:t>minimal clinical important difference, MCID</w:t>
      </w:r>
      <w:r w:rsidRPr="00BC6AEA">
        <w:rPr>
          <w:rFonts w:eastAsia="標楷體" w:cstheme="minorHAnsi" w:hint="eastAsia"/>
        </w:rPr>
        <w:t>）。</w:t>
      </w:r>
    </w:p>
    <w:p w14:paraId="26D81836" w14:textId="4C296CEB" w:rsidR="00BC6AEA" w:rsidRPr="00BC6AEA" w:rsidRDefault="00BC6AEA" w:rsidP="00BC6AEA">
      <w:pPr>
        <w:ind w:firstLineChars="177" w:firstLine="425"/>
        <w:jc w:val="both"/>
        <w:rPr>
          <w:rFonts w:eastAsia="標楷體" w:cstheme="minorHAnsi"/>
        </w:rPr>
      </w:pPr>
      <w:r w:rsidRPr="00BC6AEA">
        <w:rPr>
          <w:rFonts w:eastAsia="標楷體" w:cstheme="minorHAnsi" w:hint="eastAsia"/>
        </w:rPr>
        <w:t>2024</w:t>
      </w:r>
      <w:r w:rsidRPr="00BC6AEA">
        <w:rPr>
          <w:rFonts w:eastAsia="標楷體" w:cstheme="minorHAnsi" w:hint="eastAsia"/>
        </w:rPr>
        <w:t>年，美國賓州</w:t>
      </w:r>
      <w:r w:rsidRPr="00BC6AEA">
        <w:rPr>
          <w:rFonts w:eastAsia="標楷體" w:cstheme="minorHAnsi" w:hint="eastAsia"/>
        </w:rPr>
        <w:t>Thomas Jefferson</w:t>
      </w:r>
      <w:r w:rsidRPr="00BC6AEA">
        <w:rPr>
          <w:rFonts w:eastAsia="標楷體" w:cstheme="minorHAnsi" w:hint="eastAsia"/>
        </w:rPr>
        <w:t>大學醫院更進一步以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結合局部敷料（</w:t>
      </w:r>
      <w:proofErr w:type="spellStart"/>
      <w:r w:rsidRPr="00BC6AEA">
        <w:rPr>
          <w:rFonts w:eastAsia="標楷體" w:cstheme="minorHAnsi" w:hint="eastAsia"/>
        </w:rPr>
        <w:t>gelfoam</w:t>
      </w:r>
      <w:proofErr w:type="spellEnd"/>
      <w:r w:rsidRPr="00BC6AEA">
        <w:rPr>
          <w:rFonts w:eastAsia="標楷體" w:cstheme="minorHAnsi" w:hint="eastAsia"/>
        </w:rPr>
        <w:t>）置放</w:t>
      </w:r>
      <w:proofErr w:type="gramStart"/>
      <w:r w:rsidRPr="00BC6AEA">
        <w:rPr>
          <w:rFonts w:eastAsia="標楷體" w:cstheme="minorHAnsi" w:hint="eastAsia"/>
        </w:rPr>
        <w:t>於嗅裂中</w:t>
      </w:r>
      <w:proofErr w:type="gramEnd"/>
      <w:r w:rsidRPr="00BC6AEA">
        <w:rPr>
          <w:rFonts w:eastAsia="標楷體" w:cstheme="minorHAnsi" w:hint="eastAsia"/>
        </w:rPr>
        <w:t>，結果顯示其療效幾乎與注射治療相當</w:t>
      </w:r>
      <w:r w:rsidR="00583AF8">
        <w:rPr>
          <w:rFonts w:eastAsia="標楷體" w:cstheme="minorHAnsi" w:hint="eastAsia"/>
        </w:rPr>
        <w:t>，但其嗅覺功能評估的方法較為不同</w:t>
      </w:r>
      <w:r w:rsidRPr="00BC6AEA">
        <w:rPr>
          <w:rFonts w:eastAsia="標楷體" w:cstheme="minorHAnsi" w:hint="eastAsia"/>
        </w:rPr>
        <w:t>。同年，台中榮總團隊亦報導將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與</w:t>
      </w:r>
      <w:proofErr w:type="gramStart"/>
      <w:r w:rsidRPr="00BC6AEA">
        <w:rPr>
          <w:rFonts w:eastAsia="標楷體" w:cstheme="minorHAnsi" w:hint="eastAsia"/>
        </w:rPr>
        <w:t>玻</w:t>
      </w:r>
      <w:proofErr w:type="gramEnd"/>
      <w:r w:rsidRPr="00BC6AEA">
        <w:rPr>
          <w:rFonts w:eastAsia="標楷體" w:cstheme="minorHAnsi" w:hint="eastAsia"/>
        </w:rPr>
        <w:t>尿酸聯合應用於頭部外傷後嗅覺喪失患者，部分個案在主觀與客觀嗅覺測試上皆有顯著改善。</w:t>
      </w:r>
    </w:p>
    <w:p w14:paraId="7BCF229C" w14:textId="7256735E" w:rsidR="00BC6AEA" w:rsidRPr="00BC6AEA" w:rsidRDefault="00BC6AEA" w:rsidP="00BC6AEA">
      <w:pPr>
        <w:ind w:firstLineChars="177" w:firstLine="425"/>
        <w:jc w:val="both"/>
        <w:rPr>
          <w:rFonts w:eastAsia="標楷體" w:cstheme="minorHAnsi"/>
        </w:rPr>
      </w:pPr>
      <w:r w:rsidRPr="00BC6AEA">
        <w:rPr>
          <w:rFonts w:eastAsia="標楷體" w:cstheme="minorHAnsi" w:hint="eastAsia"/>
        </w:rPr>
        <w:t>綜合現有證據，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在後</w:t>
      </w:r>
      <w:proofErr w:type="gramStart"/>
      <w:r w:rsidRPr="00BC6AEA">
        <w:rPr>
          <w:rFonts w:eastAsia="標楷體" w:cstheme="minorHAnsi" w:hint="eastAsia"/>
        </w:rPr>
        <w:t>疫</w:t>
      </w:r>
      <w:proofErr w:type="gramEnd"/>
      <w:r w:rsidRPr="00BC6AEA">
        <w:rPr>
          <w:rFonts w:eastAsia="標楷體" w:cstheme="minorHAnsi" w:hint="eastAsia"/>
        </w:rPr>
        <w:t>情時代正逐漸成為嗅覺訓練之外，臨床醫師值得考慮的治療選項。然而，目前在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的製備方式、投與路徑、治療頻率、不同病因之預後差異等方面，仍有待更多研究以建立最佳化的治療策略。</w:t>
      </w:r>
    </w:p>
    <w:p w14:paraId="4987AD51" w14:textId="69ABA739" w:rsidR="0093574E" w:rsidRPr="005C367B" w:rsidRDefault="00BC6AEA" w:rsidP="00BC6AEA">
      <w:pPr>
        <w:ind w:firstLineChars="177" w:firstLine="425"/>
        <w:jc w:val="both"/>
        <w:rPr>
          <w:rFonts w:eastAsia="標楷體" w:cstheme="minorHAnsi"/>
        </w:rPr>
      </w:pPr>
      <w:r w:rsidRPr="00BC6AEA">
        <w:rPr>
          <w:rFonts w:eastAsia="標楷體" w:cstheme="minorHAnsi" w:hint="eastAsia"/>
        </w:rPr>
        <w:t>有鑑於此，筆者於</w:t>
      </w:r>
      <w:proofErr w:type="gramStart"/>
      <w:r w:rsidRPr="00BC6AEA">
        <w:rPr>
          <w:rFonts w:eastAsia="標楷體" w:cstheme="minorHAnsi" w:hint="eastAsia"/>
        </w:rPr>
        <w:t>臺</w:t>
      </w:r>
      <w:proofErr w:type="gramEnd"/>
      <w:r w:rsidRPr="00BC6AEA">
        <w:rPr>
          <w:rFonts w:eastAsia="標楷體" w:cstheme="minorHAnsi" w:hint="eastAsia"/>
        </w:rPr>
        <w:t>北榮民總醫院發起一項雙盲隨機對照臨床研究</w:t>
      </w:r>
      <w:proofErr w:type="gramStart"/>
      <w:r w:rsidRPr="00BC6AEA">
        <w:rPr>
          <w:rFonts w:eastAsia="標楷體" w:cstheme="minorHAnsi" w:hint="eastAsia"/>
        </w:rPr>
        <w:t>（</w:t>
      </w:r>
      <w:proofErr w:type="gramEnd"/>
      <w:r w:rsidRPr="00BC6AEA">
        <w:rPr>
          <w:rFonts w:eastAsia="標楷體" w:cstheme="minorHAnsi" w:hint="eastAsia"/>
        </w:rPr>
        <w:t>ClinicalTrials.gov</w:t>
      </w:r>
      <w:r w:rsidRPr="00BC6AEA">
        <w:rPr>
          <w:rFonts w:eastAsia="標楷體" w:cstheme="minorHAnsi" w:hint="eastAsia"/>
        </w:rPr>
        <w:t>註冊編號：</w:t>
      </w:r>
      <w:r w:rsidRPr="00BC6AEA">
        <w:rPr>
          <w:rFonts w:eastAsia="標楷體" w:cstheme="minorHAnsi" w:hint="eastAsia"/>
        </w:rPr>
        <w:t>NCT07151703</w:t>
      </w:r>
      <w:proofErr w:type="gramStart"/>
      <w:r w:rsidRPr="00BC6AEA">
        <w:rPr>
          <w:rFonts w:eastAsia="標楷體" w:cstheme="minorHAnsi" w:hint="eastAsia"/>
        </w:rPr>
        <w:t>）</w:t>
      </w:r>
      <w:proofErr w:type="gramEnd"/>
      <w:r w:rsidRPr="00BC6AEA">
        <w:rPr>
          <w:rFonts w:eastAsia="標楷體" w:cstheme="minorHAnsi" w:hint="eastAsia"/>
        </w:rPr>
        <w:t>，</w:t>
      </w:r>
      <w:r w:rsidR="00583AF8">
        <w:rPr>
          <w:rFonts w:eastAsia="標楷體" w:cstheme="minorHAnsi" w:hint="eastAsia"/>
        </w:rPr>
        <w:t>希</w:t>
      </w:r>
      <w:r w:rsidRPr="00BC6AEA">
        <w:rPr>
          <w:rFonts w:eastAsia="標楷體" w:cstheme="minorHAnsi" w:hint="eastAsia"/>
        </w:rPr>
        <w:t>望能進一步</w:t>
      </w:r>
      <w:proofErr w:type="gramStart"/>
      <w:r w:rsidRPr="00BC6AEA">
        <w:rPr>
          <w:rFonts w:eastAsia="標楷體" w:cstheme="minorHAnsi" w:hint="eastAsia"/>
        </w:rPr>
        <w:t>釐</w:t>
      </w:r>
      <w:proofErr w:type="gramEnd"/>
      <w:r w:rsidRPr="00BC6AEA">
        <w:rPr>
          <w:rFonts w:eastAsia="標楷體" w:cstheme="minorHAnsi" w:hint="eastAsia"/>
        </w:rPr>
        <w:t>清</w:t>
      </w:r>
      <w:r w:rsidRPr="00BC6AEA">
        <w:rPr>
          <w:rFonts w:eastAsia="標楷體" w:cstheme="minorHAnsi" w:hint="eastAsia"/>
        </w:rPr>
        <w:t>PRP</w:t>
      </w:r>
      <w:r w:rsidRPr="00BC6AEA">
        <w:rPr>
          <w:rFonts w:eastAsia="標楷體" w:cstheme="minorHAnsi" w:hint="eastAsia"/>
        </w:rPr>
        <w:t>在</w:t>
      </w:r>
      <w:r w:rsidR="00583AF8">
        <w:rPr>
          <w:rFonts w:eastAsia="標楷體" w:cstheme="minorHAnsi" w:hint="eastAsia"/>
        </w:rPr>
        <w:t>本土</w:t>
      </w:r>
      <w:r w:rsidRPr="00BC6AEA">
        <w:rPr>
          <w:rFonts w:eastAsia="標楷體" w:cstheme="minorHAnsi" w:hint="eastAsia"/>
        </w:rPr>
        <w:t>嗅覺障礙治療中的效果與</w:t>
      </w:r>
      <w:r w:rsidR="00583AF8">
        <w:rPr>
          <w:rFonts w:eastAsia="標楷體" w:cstheme="minorHAnsi" w:hint="eastAsia"/>
        </w:rPr>
        <w:t>最佳方式</w:t>
      </w:r>
      <w:r w:rsidRPr="00BC6AEA">
        <w:rPr>
          <w:rFonts w:eastAsia="標楷體" w:cstheme="minorHAnsi" w:hint="eastAsia"/>
        </w:rPr>
        <w:t>。期盼此研究成果能造福國人，幫助更多嗅覺障礙患者重新找回「能聞生活」的美好。</w:t>
      </w:r>
    </w:p>
    <w:sectPr w:rsidR="0093574E" w:rsidRPr="005C36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7B3"/>
    <w:rsid w:val="0004432E"/>
    <w:rsid w:val="00070FEE"/>
    <w:rsid w:val="000C7DAA"/>
    <w:rsid w:val="001F3B94"/>
    <w:rsid w:val="002C2414"/>
    <w:rsid w:val="0031681C"/>
    <w:rsid w:val="003F44FF"/>
    <w:rsid w:val="00434840"/>
    <w:rsid w:val="004917B3"/>
    <w:rsid w:val="004A7997"/>
    <w:rsid w:val="0052116A"/>
    <w:rsid w:val="005473AE"/>
    <w:rsid w:val="00583AF8"/>
    <w:rsid w:val="005C367B"/>
    <w:rsid w:val="005F7FE7"/>
    <w:rsid w:val="006A0E64"/>
    <w:rsid w:val="007F3A84"/>
    <w:rsid w:val="008C6EA3"/>
    <w:rsid w:val="009260F1"/>
    <w:rsid w:val="0093574E"/>
    <w:rsid w:val="00A3369D"/>
    <w:rsid w:val="00A41FB0"/>
    <w:rsid w:val="00B3087E"/>
    <w:rsid w:val="00B737F2"/>
    <w:rsid w:val="00BC6AEA"/>
    <w:rsid w:val="00C64E3F"/>
    <w:rsid w:val="00D53A64"/>
    <w:rsid w:val="00EA28A4"/>
    <w:rsid w:val="00EA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CBAE29"/>
  <w15:chartTrackingRefBased/>
  <w15:docId w15:val="{C8A7B9DB-9ACF-45E8-9CE3-1145928D1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917B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1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200</Words>
  <Characters>1141</Characters>
  <Application>Microsoft Office Word</Application>
  <DocSecurity>0</DocSecurity>
  <Lines>9</Lines>
  <Paragraphs>2</Paragraphs>
  <ScaleCrop>false</ScaleCrop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Yun-Ting Chao</dc:creator>
  <cp:keywords/>
  <dc:description/>
  <cp:lastModifiedBy>vghuser</cp:lastModifiedBy>
  <cp:revision>10</cp:revision>
  <dcterms:created xsi:type="dcterms:W3CDTF">2025-10-18T06:28:00Z</dcterms:created>
  <dcterms:modified xsi:type="dcterms:W3CDTF">2025-10-27T08:45:00Z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0270bcf7-1923-4b9e-949c-2d10feeb1baa</vt:lpwstr>
  </property>
</Properties>
</file>