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ED" w:rsidRPr="008E7DED" w:rsidRDefault="008E7DED" w:rsidP="008E7DED">
      <w:pPr>
        <w:widowControl/>
        <w:shd w:val="clear" w:color="auto" w:fill="FFFFFF"/>
        <w:spacing w:beforeAutospacing="1" w:afterAutospacing="1"/>
        <w:textAlignment w:val="baseline"/>
        <w:outlineLvl w:val="1"/>
        <w:rPr>
          <w:rFonts w:ascii="微軟正黑體" w:eastAsia="微軟正黑體" w:hAnsi="微軟正黑體" w:cs="新細明體"/>
          <w:b/>
          <w:bCs/>
          <w:color w:val="333333"/>
          <w:kern w:val="0"/>
          <w:sz w:val="36"/>
          <w:szCs w:val="36"/>
        </w:rPr>
      </w:pPr>
      <w:r w:rsidRPr="008E7DED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補充保險費計算公式</w:t>
      </w:r>
    </w:p>
    <w:p w:rsidR="008E7DED" w:rsidRPr="008E7DED" w:rsidRDefault="008E7DED" w:rsidP="008E7DED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● 保險費計算公式說明(最新</w:t>
      </w:r>
      <w:r w:rsidRPr="008E7DED">
        <w:rPr>
          <w:rFonts w:ascii="微軟正黑體" w:eastAsia="微軟正黑體" w:hAnsi="微軟正黑體" w:cs="新細明體" w:hint="eastAsia"/>
          <w:color w:val="FF0000"/>
          <w:kern w:val="0"/>
          <w:sz w:val="27"/>
          <w:szCs w:val="27"/>
          <w:bdr w:val="none" w:sz="0" w:space="0" w:color="auto" w:frame="1"/>
        </w:rPr>
        <w:t>110.01.01</w:t>
      </w:r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更新)</w:t>
      </w:r>
    </w:p>
    <w:p w:rsidR="008E7DED" w:rsidRPr="008E7DED" w:rsidRDefault="008E7DED" w:rsidP="008E7DED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● 投保單位每月所支付薪資總額(所得稅格式代號50、79A及79B)與其受</w:t>
      </w:r>
      <w:proofErr w:type="gramStart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僱</w:t>
      </w:r>
      <w:proofErr w:type="gramEnd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者當月投保金額</w:t>
      </w:r>
      <w:proofErr w:type="gramStart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總額間的差額</w:t>
      </w:r>
      <w:proofErr w:type="gramEnd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，應按補充保險費率計算並繳納補充保險費。</w:t>
      </w:r>
    </w:p>
    <w:p w:rsidR="008E7DED" w:rsidRPr="008E7DED" w:rsidRDefault="008E7DED" w:rsidP="008E7DED">
      <w:pPr>
        <w:widowControl/>
        <w:shd w:val="clear" w:color="auto" w:fill="FFFFFF"/>
        <w:ind w:left="425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公式：(每月給付之薪資所得總額－給付當月受</w:t>
      </w:r>
      <w:proofErr w:type="gramStart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僱</w:t>
      </w:r>
      <w:proofErr w:type="gramEnd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者投保金額總額) × 費率</w:t>
      </w:r>
      <w:r w:rsidRPr="008E7DED">
        <w:rPr>
          <w:rFonts w:ascii="微軟正黑體" w:eastAsia="微軟正黑體" w:hAnsi="微軟正黑體" w:cs="新細明體" w:hint="eastAsia"/>
          <w:color w:val="FF0000"/>
          <w:kern w:val="0"/>
          <w:sz w:val="27"/>
          <w:szCs w:val="27"/>
          <w:bdr w:val="none" w:sz="0" w:space="0" w:color="auto" w:frame="1"/>
        </w:rPr>
        <w:t>2.11</w:t>
      </w:r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%</w:t>
      </w:r>
    </w:p>
    <w:p w:rsidR="008E7DED" w:rsidRPr="008E7DED" w:rsidRDefault="008E7DED" w:rsidP="008E7DED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● 民眾如有下列6項所得或收入時，</w:t>
      </w:r>
      <w:proofErr w:type="gramStart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由扣費</w:t>
      </w:r>
      <w:proofErr w:type="gramEnd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單位按費率</w:t>
      </w:r>
      <w:r w:rsidRPr="008E7DED">
        <w:rPr>
          <w:rFonts w:ascii="微軟正黑體" w:eastAsia="微軟正黑體" w:hAnsi="微軟正黑體" w:cs="新細明體" w:hint="eastAsia"/>
          <w:color w:val="FF0000"/>
          <w:kern w:val="0"/>
          <w:sz w:val="27"/>
          <w:szCs w:val="27"/>
          <w:bdr w:val="none" w:sz="0" w:space="0" w:color="auto" w:frame="1"/>
        </w:rPr>
        <w:t>2.11</w:t>
      </w:r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%</w:t>
      </w:r>
      <w:proofErr w:type="gramStart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就源扣取</w:t>
      </w:r>
      <w:proofErr w:type="gramEnd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並繳納補充保險費。</w:t>
      </w:r>
    </w:p>
    <w:p w:rsidR="008E7DED" w:rsidRPr="008E7DED" w:rsidRDefault="008E7DED" w:rsidP="008E7DED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● </w:t>
      </w:r>
      <w:r w:rsidRPr="008E7DED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公式：</w:t>
      </w:r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計費所得或收入 ×費率</w:t>
      </w:r>
      <w:r w:rsidRPr="008E7DED">
        <w:rPr>
          <w:rFonts w:ascii="微軟正黑體" w:eastAsia="微軟正黑體" w:hAnsi="微軟正黑體" w:cs="新細明體" w:hint="eastAsia"/>
          <w:color w:val="FF0000"/>
          <w:kern w:val="0"/>
          <w:sz w:val="27"/>
          <w:szCs w:val="27"/>
          <w:bdr w:val="none" w:sz="0" w:space="0" w:color="auto" w:frame="1"/>
        </w:rPr>
        <w:t>2.11</w:t>
      </w:r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%</w:t>
      </w:r>
    </w:p>
    <w:p w:rsidR="008E7DED" w:rsidRPr="008E7DED" w:rsidRDefault="008E7DED" w:rsidP="008E7DED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● </w:t>
      </w:r>
      <w:r w:rsidRPr="008E7DED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計算個人補充保險費的上、下限</w:t>
      </w:r>
    </w:p>
    <w:tbl>
      <w:tblPr>
        <w:tblW w:w="9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依健保法第31條，保險對象有獎金、兼職所得、執行業務收入、股利所得、利息所得、租金收入，應依規定由扣費義務人於給付時扣取補充保險費。各類所得扣取上限以1000萬元為限，獎金無下限規定，兼職所得扣取下限為單次給付達基本工資，其他所得單次給付達2萬元。"/>
      </w:tblPr>
      <w:tblGrid>
        <w:gridCol w:w="1887"/>
        <w:gridCol w:w="3684"/>
        <w:gridCol w:w="3684"/>
      </w:tblGrid>
      <w:tr w:rsidR="008E7DED" w:rsidRPr="008E7DED" w:rsidTr="008E7DED">
        <w:tc>
          <w:tcPr>
            <w:tcW w:w="18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計費項目</w:t>
            </w:r>
          </w:p>
        </w:tc>
        <w:tc>
          <w:tcPr>
            <w:tcW w:w="36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下　限</w:t>
            </w:r>
          </w:p>
        </w:tc>
        <w:tc>
          <w:tcPr>
            <w:tcW w:w="36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上　限</w:t>
            </w:r>
          </w:p>
        </w:tc>
      </w:tr>
      <w:tr w:rsidR="008E7DED" w:rsidRPr="008E7DED" w:rsidTr="008E7DED">
        <w:tc>
          <w:tcPr>
            <w:tcW w:w="18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全年累計超過當月投保金額4倍部分的獎金</w:t>
            </w:r>
          </w:p>
        </w:tc>
        <w:tc>
          <w:tcPr>
            <w:tcW w:w="36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36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獎金累計超過當月投保金額4倍後，超過的部分單次以1,000萬元為限。</w:t>
            </w:r>
          </w:p>
        </w:tc>
      </w:tr>
      <w:tr w:rsidR="008E7DED" w:rsidRPr="008E7DED" w:rsidTr="008E7DED">
        <w:tc>
          <w:tcPr>
            <w:tcW w:w="18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兼職薪資所得</w:t>
            </w:r>
          </w:p>
        </w:tc>
        <w:tc>
          <w:tcPr>
            <w:tcW w:w="36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單次給付金額達中央勞動主管機關公告基本工資之薪資所得。</w:t>
            </w:r>
          </w:p>
        </w:tc>
        <w:tc>
          <w:tcPr>
            <w:tcW w:w="3690" w:type="dxa"/>
            <w:vMerge w:val="restart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單次給付以1,000萬元為限</w:t>
            </w:r>
          </w:p>
        </w:tc>
      </w:tr>
      <w:tr w:rsidR="008E7DED" w:rsidRPr="008E7DED" w:rsidTr="008E7DED">
        <w:tc>
          <w:tcPr>
            <w:tcW w:w="18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執行業務收入</w:t>
            </w:r>
          </w:p>
        </w:tc>
        <w:tc>
          <w:tcPr>
            <w:tcW w:w="36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ind w:left="200" w:hanging="200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單次給付達20,000元</w:t>
            </w: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(</w:t>
            </w:r>
            <w:proofErr w:type="gramStart"/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註</w:t>
            </w:r>
            <w:proofErr w:type="gramEnd"/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vMerge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bottom"/>
            <w:hideMark/>
          </w:tcPr>
          <w:p w:rsidR="008E7DED" w:rsidRPr="008E7DED" w:rsidRDefault="008E7DED" w:rsidP="008E7DED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8E7DED" w:rsidRPr="008E7DED" w:rsidTr="008E7DED">
        <w:tc>
          <w:tcPr>
            <w:tcW w:w="18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股利所得</w:t>
            </w:r>
          </w:p>
        </w:tc>
        <w:tc>
          <w:tcPr>
            <w:tcW w:w="36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ind w:left="200" w:hanging="200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1.以雇主或自營業主身分投保者：單次給付金額超過已列入投保金額計算部分達20,000元。</w:t>
            </w: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(</w:t>
            </w:r>
            <w:proofErr w:type="gramStart"/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註</w:t>
            </w:r>
            <w:proofErr w:type="gramEnd"/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2)</w:t>
            </w:r>
          </w:p>
          <w:p w:rsidR="008E7DED" w:rsidRPr="008E7DED" w:rsidRDefault="008E7DED" w:rsidP="008E7DED">
            <w:pPr>
              <w:widowControl/>
              <w:ind w:left="200" w:hanging="200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2.非以雇主或自營業主身分投保者：單次給付達20,000元。</w:t>
            </w: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(</w:t>
            </w:r>
            <w:proofErr w:type="gramStart"/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註</w:t>
            </w:r>
            <w:proofErr w:type="gramEnd"/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ind w:left="200" w:hanging="200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1.以雇主或自營業主身分投保者:單次給付金額扣除已列入投保金額計算之股利所得部分以1,000萬元為限。</w:t>
            </w:r>
          </w:p>
          <w:p w:rsidR="008E7DED" w:rsidRPr="008E7DED" w:rsidRDefault="008E7DED" w:rsidP="008E7DED">
            <w:pPr>
              <w:widowControl/>
              <w:ind w:left="200" w:hanging="200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2.非以雇主或自營業主身分投保者：單次給付以</w:t>
            </w: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bdr w:val="none" w:sz="0" w:space="0" w:color="auto" w:frame="1"/>
              </w:rPr>
              <w:t>1,000</w:t>
            </w: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萬元為限。</w:t>
            </w:r>
          </w:p>
        </w:tc>
      </w:tr>
      <w:tr w:rsidR="008E7DED" w:rsidRPr="008E7DED" w:rsidTr="008E7DED">
        <w:trPr>
          <w:trHeight w:val="600"/>
        </w:trPr>
        <w:tc>
          <w:tcPr>
            <w:tcW w:w="18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利息所得</w:t>
            </w:r>
          </w:p>
        </w:tc>
        <w:tc>
          <w:tcPr>
            <w:tcW w:w="36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ind w:left="200" w:hanging="200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單次給付達20,000元</w:t>
            </w: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(</w:t>
            </w:r>
            <w:proofErr w:type="gramStart"/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註</w:t>
            </w:r>
            <w:proofErr w:type="gramEnd"/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單次給付以1,000萬元為限</w:t>
            </w:r>
          </w:p>
        </w:tc>
      </w:tr>
      <w:tr w:rsidR="008E7DED" w:rsidRPr="008E7DED" w:rsidTr="008E7DED">
        <w:trPr>
          <w:trHeight w:val="600"/>
        </w:trPr>
        <w:tc>
          <w:tcPr>
            <w:tcW w:w="18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租金收入</w:t>
            </w:r>
          </w:p>
        </w:tc>
        <w:tc>
          <w:tcPr>
            <w:tcW w:w="36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ind w:left="200" w:hanging="200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單次給付達20,000元</w:t>
            </w: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(</w:t>
            </w:r>
            <w:proofErr w:type="gramStart"/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註</w:t>
            </w:r>
            <w:proofErr w:type="gramEnd"/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690" w:type="dxa"/>
            <w:tcBorders>
              <w:top w:val="single" w:sz="6" w:space="0" w:color="197584"/>
              <w:left w:val="single" w:sz="6" w:space="0" w:color="197584"/>
              <w:bottom w:val="single" w:sz="6" w:space="0" w:color="197584"/>
              <w:right w:val="single" w:sz="6" w:space="0" w:color="197584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jc w:val="center"/>
              <w:textAlignment w:val="baseline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單次給付以1,000萬元為限</w:t>
            </w:r>
          </w:p>
        </w:tc>
      </w:tr>
      <w:tr w:rsidR="008E7DED" w:rsidRPr="008E7DED" w:rsidTr="008E7DE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DED" w:rsidRPr="008E7DED" w:rsidRDefault="008E7DED" w:rsidP="008E7DED">
            <w:pPr>
              <w:widowControl/>
              <w:textAlignment w:val="baseline"/>
              <w:rPr>
                <w:rFonts w:ascii="微軟正黑體" w:eastAsia="微軟正黑體" w:hAnsi="微軟正黑體" w:cs="新細明體"/>
                <w:color w:val="777777"/>
                <w:kern w:val="0"/>
                <w:szCs w:val="24"/>
              </w:rPr>
            </w:pPr>
            <w:r w:rsidRPr="008E7DED">
              <w:rPr>
                <w:rFonts w:ascii="微軟正黑體" w:eastAsia="微軟正黑體" w:hAnsi="微軟正黑體" w:cs="新細明體" w:hint="eastAsia"/>
                <w:color w:val="777777"/>
                <w:kern w:val="0"/>
                <w:szCs w:val="24"/>
              </w:rPr>
              <w:t>保險對象應扣取補充保險費項目之上、下限</w:t>
            </w:r>
          </w:p>
        </w:tc>
      </w:tr>
    </w:tbl>
    <w:p w:rsidR="008E7DED" w:rsidRPr="008E7DED" w:rsidRDefault="008E7DED" w:rsidP="008E7DED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proofErr w:type="gramStart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註</w:t>
      </w:r>
      <w:proofErr w:type="gramEnd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：</w:t>
      </w:r>
    </w:p>
    <w:p w:rsidR="008E7DED" w:rsidRPr="008E7DED" w:rsidRDefault="008E7DED" w:rsidP="008E7DED">
      <w:pPr>
        <w:widowControl/>
        <w:shd w:val="clear" w:color="auto" w:fill="FFFFFF"/>
        <w:ind w:left="240" w:hanging="240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1.個人補充保險費的計費所得或收入達下限時，以全額計算補充保險費；</w:t>
      </w:r>
      <w:proofErr w:type="gramStart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逾上限時</w:t>
      </w:r>
      <w:proofErr w:type="gramEnd"/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，則以上限金額計。</w:t>
      </w:r>
    </w:p>
    <w:p w:rsidR="008E7DED" w:rsidRPr="008E7DED" w:rsidRDefault="008E7DED" w:rsidP="008E7DED">
      <w:pPr>
        <w:widowControl/>
        <w:shd w:val="clear" w:color="auto" w:fill="FFFFFF"/>
        <w:ind w:left="240" w:hanging="240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8E7DED"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  <w:t>2.中低收入戶、中低收入老人、接受生活扶助之弱勢兒童與少年、領取身心障礙生活補助費者、特殊境遇家庭及符合本法第一百條所定之經濟困難者，單次領取未達中央勞動主管機關公告基本工資者，始得免扣取補充保險費。</w:t>
      </w:r>
    </w:p>
    <w:p w:rsidR="008E7DED" w:rsidRPr="008E7DED" w:rsidRDefault="008E7DED" w:rsidP="008E7DED">
      <w:pPr>
        <w:widowControl/>
        <w:shd w:val="clear" w:color="auto" w:fill="FFFFFF"/>
        <w:textAlignment w:val="baseline"/>
        <w:rPr>
          <w:rFonts w:ascii="微軟正黑體" w:eastAsia="微軟正黑體" w:hAnsi="微軟正黑體" w:cs="新細明體" w:hint="eastAsia"/>
          <w:color w:val="000000"/>
          <w:kern w:val="0"/>
          <w:sz w:val="27"/>
          <w:szCs w:val="27"/>
        </w:rPr>
      </w:pPr>
      <w:r w:rsidRPr="008E7DED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◎</w:t>
      </w:r>
      <w:proofErr w:type="gramStart"/>
      <w:r w:rsidRPr="008E7DED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詳請參閱</w:t>
      </w:r>
      <w:proofErr w:type="gramEnd"/>
      <w:hyperlink r:id="rId8" w:tooltip="二代健保專區" w:history="1">
        <w:r w:rsidRPr="008E7DED">
          <w:rPr>
            <w:rFonts w:ascii="微軟正黑體" w:eastAsia="微軟正黑體" w:hAnsi="微軟正黑體" w:cs="新細明體" w:hint="eastAsia"/>
            <w:b/>
            <w:bCs/>
            <w:color w:val="0000FF"/>
            <w:kern w:val="0"/>
            <w:sz w:val="27"/>
            <w:szCs w:val="27"/>
            <w:bdr w:val="none" w:sz="0" w:space="0" w:color="auto" w:frame="1"/>
          </w:rPr>
          <w:t>二代健保專區</w:t>
        </w:r>
      </w:hyperlink>
      <w:r w:rsidRPr="008E7DED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7"/>
          <w:szCs w:val="27"/>
          <w:bdr w:val="none" w:sz="0" w:space="0" w:color="auto" w:frame="1"/>
        </w:rPr>
        <w:t>相關資料</w:t>
      </w:r>
    </w:p>
    <w:p w:rsidR="008E7DED" w:rsidRPr="008E7DED" w:rsidRDefault="008E7DED" w:rsidP="008E7DED">
      <w:pPr>
        <w:widowControl/>
        <w:numPr>
          <w:ilvl w:val="0"/>
          <w:numId w:val="3"/>
        </w:numPr>
        <w:shd w:val="clear" w:color="auto" w:fill="FFFFFF"/>
        <w:ind w:left="0"/>
        <w:jc w:val="right"/>
        <w:textAlignment w:val="baseline"/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  <w:bdr w:val="none" w:sz="0" w:space="0" w:color="auto" w:frame="1"/>
        </w:rPr>
      </w:pPr>
    </w:p>
    <w:p w:rsidR="008E7DED" w:rsidRPr="008E7DED" w:rsidRDefault="008E7DED" w:rsidP="00D52AFB">
      <w:pPr>
        <w:widowControl/>
        <w:numPr>
          <w:ilvl w:val="1"/>
          <w:numId w:val="3"/>
        </w:numPr>
        <w:shd w:val="clear" w:color="auto" w:fill="FFFFFF"/>
        <w:ind w:left="0"/>
        <w:jc w:val="right"/>
        <w:textAlignment w:val="baseline"/>
        <w:rPr>
          <w:rFonts w:ascii="微軟正黑體" w:eastAsia="微軟正黑體" w:hAnsi="微軟正黑體" w:cs="新細明體"/>
          <w:color w:val="333333"/>
          <w:kern w:val="0"/>
          <w:sz w:val="27"/>
          <w:szCs w:val="27"/>
          <w:bdr w:val="none" w:sz="0" w:space="0" w:color="auto" w:frame="1"/>
        </w:rPr>
      </w:pPr>
      <w:r w:rsidRPr="008E7DED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  <w:bdr w:val="none" w:sz="0" w:space="0" w:color="auto" w:frame="1"/>
        </w:rPr>
        <w:t>更新日期：110-01-04</w:t>
      </w:r>
      <w:bookmarkStart w:id="0" w:name="_GoBack"/>
      <w:bookmarkEnd w:id="0"/>
    </w:p>
    <w:sectPr w:rsidR="008E7DED" w:rsidRPr="008E7D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24" w:rsidRDefault="00D45224" w:rsidP="00C3298A">
      <w:r>
        <w:separator/>
      </w:r>
    </w:p>
  </w:endnote>
  <w:endnote w:type="continuationSeparator" w:id="0">
    <w:p w:rsidR="00D45224" w:rsidRDefault="00D45224" w:rsidP="00C3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24" w:rsidRDefault="00D45224" w:rsidP="00C3298A">
      <w:r>
        <w:separator/>
      </w:r>
    </w:p>
  </w:footnote>
  <w:footnote w:type="continuationSeparator" w:id="0">
    <w:p w:rsidR="00D45224" w:rsidRDefault="00D45224" w:rsidP="00C3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29FB"/>
    <w:multiLevelType w:val="multilevel"/>
    <w:tmpl w:val="9B64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73695"/>
    <w:multiLevelType w:val="multilevel"/>
    <w:tmpl w:val="6A9E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C2FD5"/>
    <w:multiLevelType w:val="multilevel"/>
    <w:tmpl w:val="90C6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DC"/>
    <w:rsid w:val="000E23DC"/>
    <w:rsid w:val="00153C49"/>
    <w:rsid w:val="001F78B1"/>
    <w:rsid w:val="00296886"/>
    <w:rsid w:val="002D2570"/>
    <w:rsid w:val="003D0A30"/>
    <w:rsid w:val="00412DF2"/>
    <w:rsid w:val="005B1316"/>
    <w:rsid w:val="005C3552"/>
    <w:rsid w:val="005E7E5B"/>
    <w:rsid w:val="00635743"/>
    <w:rsid w:val="00705C37"/>
    <w:rsid w:val="00731031"/>
    <w:rsid w:val="00870193"/>
    <w:rsid w:val="0088542F"/>
    <w:rsid w:val="008E7DED"/>
    <w:rsid w:val="009C03E1"/>
    <w:rsid w:val="00A47A9D"/>
    <w:rsid w:val="00A67B9B"/>
    <w:rsid w:val="00A906D5"/>
    <w:rsid w:val="00AA368B"/>
    <w:rsid w:val="00BF7A4E"/>
    <w:rsid w:val="00C3298A"/>
    <w:rsid w:val="00C6514A"/>
    <w:rsid w:val="00CA2042"/>
    <w:rsid w:val="00CC6F09"/>
    <w:rsid w:val="00D36562"/>
    <w:rsid w:val="00D45224"/>
    <w:rsid w:val="00D52AFB"/>
    <w:rsid w:val="00E3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9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9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6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68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9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9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9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96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96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9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3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5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6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0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3036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i.gov.tw/Nhi2/QA.aspx?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4</DocSecurity>
  <Lines>6</Lines>
  <Paragraphs>1</Paragraphs>
  <ScaleCrop>false</ScaleCrop>
  <Company>台北榮民總醫院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vghuser</dc:creator>
  <cp:lastModifiedBy>vghuser</cp:lastModifiedBy>
  <cp:revision>2</cp:revision>
  <cp:lastPrinted>2019-06-14T07:58:00Z</cp:lastPrinted>
  <dcterms:created xsi:type="dcterms:W3CDTF">2022-05-23T07:13:00Z</dcterms:created>
  <dcterms:modified xsi:type="dcterms:W3CDTF">2022-05-23T07:13:00Z</dcterms:modified>
</cp:coreProperties>
</file>