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E9C" w:rsidRPr="00C91F96" w:rsidRDefault="008F3E9C" w:rsidP="008F3E9C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szCs w:val="24"/>
        </w:rPr>
        <w:t>流式細胞分析儀</w:t>
      </w:r>
      <w:r w:rsidR="00CB4BDC" w:rsidRPr="00C91F96">
        <w:rPr>
          <w:rFonts w:ascii="Times New Roman" w:eastAsia="標楷體" w:hAnsi="Times New Roman" w:cs="Times New Roman"/>
          <w:b/>
          <w:szCs w:val="24"/>
        </w:rPr>
        <w:t xml:space="preserve">BD Canto II </w:t>
      </w:r>
      <w:r w:rsidRPr="00C91F96">
        <w:rPr>
          <w:rFonts w:ascii="Times New Roman" w:eastAsia="標楷體" w:hAnsi="Times New Roman" w:cs="Times New Roman"/>
          <w:b/>
          <w:szCs w:val="24"/>
        </w:rPr>
        <w:t>compensation</w:t>
      </w:r>
      <w:r w:rsidRPr="00C91F96">
        <w:rPr>
          <w:rFonts w:ascii="Times New Roman" w:eastAsia="標楷體" w:hAnsi="Times New Roman" w:cs="Times New Roman"/>
          <w:b/>
          <w:szCs w:val="24"/>
        </w:rPr>
        <w:t>實驗須注意事項有哪些</w:t>
      </w:r>
      <w:r w:rsidRPr="00C91F96">
        <w:rPr>
          <w:rFonts w:ascii="Times New Roman" w:eastAsia="標楷體" w:hAnsi="Times New Roman" w:cs="Times New Roman"/>
          <w:b/>
          <w:szCs w:val="24"/>
        </w:rPr>
        <w:t>?</w:t>
      </w:r>
    </w:p>
    <w:p w:rsidR="008F3E9C" w:rsidRPr="00C91F96" w:rsidRDefault="008F3E9C" w:rsidP="008F3E9C">
      <w:pPr>
        <w:widowControl/>
        <w:spacing w:line="440" w:lineRule="exact"/>
        <w:rPr>
          <w:rFonts w:ascii="Times New Roman" w:eastAsia="標楷體" w:hAnsi="Times New Roman" w:cs="Times New Roman"/>
          <w:kern w:val="0"/>
          <w:szCs w:val="24"/>
        </w:rPr>
      </w:pPr>
      <w:r w:rsidRPr="00C91F96">
        <w:rPr>
          <w:rFonts w:ascii="Times New Roman" w:eastAsia="標楷體" w:hAnsi="Times New Roman" w:cs="Times New Roman"/>
          <w:kern w:val="0"/>
          <w:szCs w:val="24"/>
        </w:rPr>
        <w:t>在流式細胞分析（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Flow Cytometry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）中，設定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螢光補償（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Compensation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）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是為了扣除不同螢光染劑之間波長重疊（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Bleed-over / Spillover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）的訊號。準備補償實驗時，請注意以下關鍵事項：</w:t>
      </w:r>
    </w:p>
    <w:p w:rsidR="008F3E9C" w:rsidRPr="00C91F96" w:rsidRDefault="008F3E9C" w:rsidP="008F3E9C">
      <w:pPr>
        <w:widowControl/>
        <w:rPr>
          <w:rFonts w:ascii="Times New Roman" w:eastAsia="標楷體" w:hAnsi="Times New Roman" w:cs="Times New Roman"/>
          <w:b/>
          <w:bCs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1.</w:t>
      </w:r>
      <w:r w:rsidR="00FC6CA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補償對照組（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Controls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）的基本原則</w:t>
      </w:r>
    </w:p>
    <w:p w:rsidR="008F3E9C" w:rsidRPr="00C91F96" w:rsidRDefault="008F3E9C" w:rsidP="00CB4BDC">
      <w:pPr>
        <w:widowControl/>
        <w:spacing w:line="440" w:lineRule="exact"/>
        <w:ind w:leftChars="119" w:left="709" w:hangingChars="176" w:hanging="423"/>
        <w:rPr>
          <w:rFonts w:ascii="Times New Roman" w:eastAsia="標楷體" w:hAnsi="Times New Roman" w:cs="Times New Roman"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(1)</w:t>
      </w:r>
      <w:r w:rsidR="00CB4BD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必須包含</w:t>
      </w:r>
      <w:proofErr w:type="gramStart"/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單染對照</w:t>
      </w:r>
      <w:proofErr w:type="gramEnd"/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組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：</w:t>
      </w:r>
      <w:r w:rsidR="00CB4BDC" w:rsidRPr="00C91F96">
        <w:rPr>
          <w:rFonts w:ascii="Times New Roman" w:eastAsia="標楷體" w:hAnsi="Times New Roman" w:cs="Times New Roman"/>
          <w:kern w:val="0"/>
          <w:szCs w:val="24"/>
        </w:rPr>
        <w:t>若採購抗體時有提供</w:t>
      </w:r>
      <w:r w:rsidR="00CB4BDC" w:rsidRPr="00C91F96">
        <w:rPr>
          <w:rFonts w:ascii="Times New Roman" w:eastAsia="標楷體" w:hAnsi="Times New Roman" w:cs="Times New Roman"/>
          <w:kern w:val="0"/>
          <w:szCs w:val="24"/>
        </w:rPr>
        <w:t>isotype antibody</w:t>
      </w:r>
      <w:r w:rsidR="00CB4BDC" w:rsidRPr="00C91F96">
        <w:rPr>
          <w:rFonts w:ascii="Times New Roman" w:eastAsia="標楷體" w:hAnsi="Times New Roman" w:cs="Times New Roman"/>
          <w:kern w:val="0"/>
          <w:szCs w:val="24"/>
        </w:rPr>
        <w:t>，則以該抗體染色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對照組</w:t>
      </w:r>
      <w:r w:rsidR="00CB4BDC" w:rsidRPr="00C91F96">
        <w:rPr>
          <w:rFonts w:ascii="Times New Roman" w:eastAsia="標楷體" w:hAnsi="Times New Roman" w:cs="Times New Roman"/>
          <w:kern w:val="0"/>
          <w:szCs w:val="24"/>
        </w:rPr>
        <w:t>標本作為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controls</w:t>
      </w:r>
      <w:r w:rsidR="00CB4BDC" w:rsidRPr="00C91F96">
        <w:rPr>
          <w:rFonts w:ascii="Times New Roman" w:eastAsia="標楷體" w:hAnsi="Times New Roman" w:cs="Times New Roman"/>
          <w:kern w:val="0"/>
          <w:szCs w:val="24"/>
        </w:rPr>
        <w:t>，用來界定螢光背景值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。</w:t>
      </w:r>
    </w:p>
    <w:p w:rsidR="008F3E9C" w:rsidRPr="00C91F96" w:rsidRDefault="008F3E9C" w:rsidP="00CB4BDC">
      <w:pPr>
        <w:widowControl/>
        <w:spacing w:line="440" w:lineRule="exact"/>
        <w:ind w:leftChars="119" w:left="709" w:hangingChars="176" w:hanging="423"/>
        <w:rPr>
          <w:rFonts w:ascii="Times New Roman" w:eastAsia="標楷體" w:hAnsi="Times New Roman" w:cs="Times New Roman"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(2)</w:t>
      </w:r>
      <w:r w:rsidR="00CB4BD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  <w:r w:rsidR="00CB4BD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若未能取得</w:t>
      </w:r>
      <w:r w:rsidR="00CB4BDC" w:rsidRPr="00C91F96">
        <w:rPr>
          <w:rFonts w:ascii="Times New Roman" w:eastAsia="標楷體" w:hAnsi="Times New Roman" w:cs="Times New Roman"/>
          <w:kern w:val="0"/>
          <w:szCs w:val="24"/>
        </w:rPr>
        <w:t>isotype antibody</w:t>
      </w:r>
      <w:r w:rsidR="00CB4BDC" w:rsidRPr="00C91F96">
        <w:rPr>
          <w:rFonts w:ascii="Times New Roman" w:eastAsia="標楷體" w:hAnsi="Times New Roman" w:cs="Times New Roman"/>
          <w:kern w:val="0"/>
          <w:szCs w:val="24"/>
        </w:rPr>
        <w:t>，則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準備</w:t>
      </w:r>
      <w:proofErr w:type="gramStart"/>
      <w:r w:rsidRPr="00C91F96">
        <w:rPr>
          <w:rFonts w:ascii="Times New Roman" w:eastAsia="標楷體" w:hAnsi="Times New Roman" w:cs="Times New Roman"/>
          <w:kern w:val="0"/>
          <w:szCs w:val="24"/>
        </w:rPr>
        <w:t>一</w:t>
      </w:r>
      <w:proofErr w:type="gramEnd"/>
      <w:r w:rsidRPr="00C91F96">
        <w:rPr>
          <w:rFonts w:ascii="Times New Roman" w:eastAsia="標楷體" w:hAnsi="Times New Roman" w:cs="Times New Roman"/>
          <w:kern w:val="0"/>
          <w:szCs w:val="24"/>
        </w:rPr>
        <w:t>管完全不加任何螢光染劑的</w:t>
      </w:r>
      <w:r w:rsidR="00CB4BDC" w:rsidRPr="00C91F96">
        <w:rPr>
          <w:rFonts w:ascii="Times New Roman" w:eastAsia="標楷體" w:hAnsi="Times New Roman" w:cs="Times New Roman"/>
          <w:kern w:val="0"/>
          <w:szCs w:val="24"/>
        </w:rPr>
        <w:t>標本作為</w:t>
      </w:r>
      <w:r w:rsidR="00CB4BDC" w:rsidRPr="00C91F96">
        <w:rPr>
          <w:rFonts w:ascii="Times New Roman" w:eastAsia="標楷體" w:hAnsi="Times New Roman" w:cs="Times New Roman"/>
          <w:kern w:val="0"/>
          <w:szCs w:val="24"/>
        </w:rPr>
        <w:t>u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nstained control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，用來界定</w:t>
      </w:r>
      <w:r w:rsidR="00CB4BDC" w:rsidRPr="00C91F96">
        <w:rPr>
          <w:rFonts w:ascii="Times New Roman" w:eastAsia="標楷體" w:hAnsi="Times New Roman" w:cs="Times New Roman"/>
          <w:kern w:val="0"/>
          <w:szCs w:val="24"/>
        </w:rPr>
        <w:t>螢光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背景值。</w:t>
      </w:r>
    </w:p>
    <w:p w:rsidR="008F3E9C" w:rsidRPr="00C91F96" w:rsidRDefault="008F3E9C" w:rsidP="00CB4BDC">
      <w:pPr>
        <w:widowControl/>
        <w:spacing w:line="440" w:lineRule="exact"/>
        <w:ind w:leftChars="119" w:left="709" w:hangingChars="176" w:hanging="423"/>
        <w:rPr>
          <w:rFonts w:ascii="Times New Roman" w:eastAsia="標楷體" w:hAnsi="Times New Roman" w:cs="Times New Roman"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(3)</w:t>
      </w:r>
      <w:r w:rsidR="00CB4BD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Positive control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訊號強度必須夠強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：</w:t>
      </w:r>
      <w:r w:rsidR="00217B18" w:rsidRPr="00C91F96">
        <w:rPr>
          <w:rFonts w:ascii="Times New Roman" w:eastAsia="標楷體" w:hAnsi="Times New Roman" w:cs="Times New Roman"/>
          <w:kern w:val="0"/>
          <w:szCs w:val="24"/>
        </w:rPr>
        <w:t>需選擇抗原表現量最高的處理組，作為</w:t>
      </w:r>
      <w:proofErr w:type="gramStart"/>
      <w:r w:rsidRPr="00C91F96">
        <w:rPr>
          <w:rFonts w:ascii="Times New Roman" w:eastAsia="標楷體" w:hAnsi="Times New Roman" w:cs="Times New Roman"/>
          <w:kern w:val="0"/>
          <w:szCs w:val="24"/>
        </w:rPr>
        <w:t>單染</w:t>
      </w:r>
      <w:r w:rsidR="00217B18" w:rsidRPr="00C91F96">
        <w:rPr>
          <w:rFonts w:ascii="Times New Roman" w:eastAsia="標楷體" w:hAnsi="Times New Roman" w:cs="Times New Roman"/>
          <w:kern w:val="0"/>
          <w:szCs w:val="24"/>
        </w:rPr>
        <w:t>組</w:t>
      </w:r>
      <w:proofErr w:type="gramEnd"/>
      <w:r w:rsidR="00217B18" w:rsidRPr="00C91F96">
        <w:rPr>
          <w:rFonts w:ascii="Times New Roman" w:eastAsia="標楷體" w:hAnsi="Times New Roman" w:cs="Times New Roman"/>
          <w:kern w:val="0"/>
          <w:szCs w:val="24"/>
        </w:rPr>
        <w:t>的</w:t>
      </w:r>
      <w:r w:rsidR="00217B18" w:rsidRPr="00C91F96">
        <w:rPr>
          <w:rFonts w:ascii="Times New Roman" w:eastAsia="標楷體" w:hAnsi="Times New Roman" w:cs="Times New Roman"/>
          <w:kern w:val="0"/>
          <w:szCs w:val="24"/>
        </w:rPr>
        <w:t>positive control(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其亮度必須等於或大於實際實驗樣本中的最高亮度</w:t>
      </w:r>
      <w:r w:rsidR="00217B18" w:rsidRPr="00C91F96">
        <w:rPr>
          <w:rFonts w:ascii="Times New Roman" w:eastAsia="標楷體" w:hAnsi="Times New Roman" w:cs="Times New Roman"/>
          <w:kern w:val="0"/>
          <w:szCs w:val="24"/>
        </w:rPr>
        <w:t>)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。</w:t>
      </w:r>
    </w:p>
    <w:p w:rsidR="008F3E9C" w:rsidRPr="00C91F96" w:rsidRDefault="008F3E9C" w:rsidP="00CB4BDC">
      <w:pPr>
        <w:widowControl/>
        <w:spacing w:line="440" w:lineRule="exact"/>
        <w:ind w:leftChars="119" w:left="709" w:hangingChars="176" w:hanging="423"/>
        <w:rPr>
          <w:rFonts w:ascii="Times New Roman" w:eastAsia="標楷體" w:hAnsi="Times New Roman" w:cs="Times New Roman"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(4)</w:t>
      </w:r>
      <w:r w:rsidR="00CB4BD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正負群體需使用相同載體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：計算補償時，同一</w:t>
      </w:r>
      <w:proofErr w:type="gramStart"/>
      <w:r w:rsidRPr="00C91F96">
        <w:rPr>
          <w:rFonts w:ascii="Times New Roman" w:eastAsia="標楷體" w:hAnsi="Times New Roman" w:cs="Times New Roman"/>
          <w:kern w:val="0"/>
          <w:szCs w:val="24"/>
        </w:rPr>
        <w:t>個單染管</w:t>
      </w:r>
      <w:proofErr w:type="gramEnd"/>
      <w:r w:rsidRPr="00C91F96">
        <w:rPr>
          <w:rFonts w:ascii="Times New Roman" w:eastAsia="標楷體" w:hAnsi="Times New Roman" w:cs="Times New Roman"/>
          <w:kern w:val="0"/>
          <w:szCs w:val="24"/>
        </w:rPr>
        <w:t>內的正反應</w:t>
      </w:r>
      <w:r w:rsidR="00217B18" w:rsidRPr="00C91F96">
        <w:rPr>
          <w:rFonts w:ascii="Times New Roman" w:eastAsia="標楷體" w:hAnsi="Times New Roman" w:cs="Times New Roman"/>
          <w:kern w:val="0"/>
          <w:szCs w:val="24"/>
        </w:rPr>
        <w:t>（</w:t>
      </w:r>
      <w:r w:rsidR="00217B18" w:rsidRPr="00C91F96">
        <w:rPr>
          <w:rFonts w:ascii="Times New Roman" w:eastAsia="標楷體" w:hAnsi="Times New Roman" w:cs="Times New Roman"/>
          <w:kern w:val="0"/>
          <w:szCs w:val="24"/>
        </w:rPr>
        <w:t>Positive</w:t>
      </w:r>
      <w:r w:rsidR="00217B18" w:rsidRPr="00C91F96">
        <w:rPr>
          <w:rFonts w:ascii="Times New Roman" w:eastAsia="標楷體" w:hAnsi="Times New Roman" w:cs="Times New Roman"/>
          <w:kern w:val="0"/>
          <w:szCs w:val="24"/>
        </w:rPr>
        <w:t>）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群體和負反應（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Negative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）群體，必須</w:t>
      </w:r>
      <w:r w:rsidR="00217B18" w:rsidRPr="00C91F96">
        <w:rPr>
          <w:rFonts w:ascii="Times New Roman" w:eastAsia="標楷體" w:hAnsi="Times New Roman" w:cs="Times New Roman"/>
          <w:kern w:val="0"/>
          <w:szCs w:val="24"/>
        </w:rPr>
        <w:t>為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相同的</w:t>
      </w:r>
      <w:r w:rsidR="00217B18" w:rsidRPr="00C91F96">
        <w:rPr>
          <w:rFonts w:ascii="Times New Roman" w:eastAsia="標楷體" w:hAnsi="Times New Roman" w:cs="Times New Roman"/>
          <w:kern w:val="0"/>
          <w:szCs w:val="24"/>
        </w:rPr>
        <w:t>載體或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自主螢光特性</w:t>
      </w:r>
      <w:proofErr w:type="gramStart"/>
      <w:r w:rsidRPr="00C91F96">
        <w:rPr>
          <w:rFonts w:ascii="Times New Roman" w:eastAsia="標楷體" w:hAnsi="Times New Roman" w:cs="Times New Roman"/>
          <w:kern w:val="0"/>
          <w:szCs w:val="24"/>
        </w:rPr>
        <w:t>（</w:t>
      </w:r>
      <w:proofErr w:type="gramEnd"/>
      <w:r w:rsidRPr="00C91F96">
        <w:rPr>
          <w:rFonts w:ascii="Times New Roman" w:eastAsia="標楷體" w:hAnsi="Times New Roman" w:cs="Times New Roman"/>
          <w:kern w:val="0"/>
          <w:szCs w:val="24"/>
        </w:rPr>
        <w:t>例如：皆為淋巴球，或皆為</w:t>
      </w:r>
      <w:r w:rsidR="00217B18" w:rsidRPr="00C91F96">
        <w:rPr>
          <w:rFonts w:ascii="Times New Roman" w:eastAsia="標楷體" w:hAnsi="Times New Roman" w:cs="Times New Roman"/>
          <w:kern w:val="0"/>
          <w:szCs w:val="24"/>
        </w:rPr>
        <w:t>compensation beads</w:t>
      </w:r>
      <w:proofErr w:type="gramStart"/>
      <w:r w:rsidRPr="00C91F96">
        <w:rPr>
          <w:rFonts w:ascii="Times New Roman" w:eastAsia="標楷體" w:hAnsi="Times New Roman" w:cs="Times New Roman"/>
          <w:kern w:val="0"/>
          <w:szCs w:val="24"/>
        </w:rPr>
        <w:t>）</w:t>
      </w:r>
      <w:proofErr w:type="gramEnd"/>
      <w:r w:rsidRPr="00C91F96">
        <w:rPr>
          <w:rFonts w:ascii="Times New Roman" w:eastAsia="標楷體" w:hAnsi="Times New Roman" w:cs="Times New Roman"/>
          <w:kern w:val="0"/>
          <w:szCs w:val="24"/>
        </w:rPr>
        <w:t>。</w:t>
      </w:r>
    </w:p>
    <w:p w:rsidR="008F3E9C" w:rsidRPr="00C91F96" w:rsidRDefault="008F3E9C" w:rsidP="008F3E9C">
      <w:pPr>
        <w:widowControl/>
        <w:rPr>
          <w:rFonts w:ascii="Times New Roman" w:eastAsia="標楷體" w:hAnsi="Times New Roman" w:cs="Times New Roman"/>
          <w:b/>
          <w:bCs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2.</w:t>
      </w:r>
      <w:r w:rsidR="00FC6CA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樣本與染劑選擇</w:t>
      </w:r>
    </w:p>
    <w:p w:rsidR="008F3E9C" w:rsidRPr="00C91F96" w:rsidRDefault="008F3E9C" w:rsidP="00FC6CAC">
      <w:pPr>
        <w:widowControl/>
        <w:spacing w:line="440" w:lineRule="exact"/>
        <w:ind w:leftChars="118" w:left="708" w:hangingChars="177" w:hanging="425"/>
        <w:rPr>
          <w:rFonts w:ascii="Times New Roman" w:eastAsia="標楷體" w:hAnsi="Times New Roman" w:cs="Times New Roman"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(1)</w:t>
      </w:r>
      <w:r w:rsidR="00FC6CA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補償管所使用的螢光染劑，必須與實驗樣本中的螢光染劑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完全相同</w:t>
      </w:r>
      <w:proofErr w:type="gramStart"/>
      <w:r w:rsidRPr="00C91F96">
        <w:rPr>
          <w:rFonts w:ascii="Times New Roman" w:eastAsia="標楷體" w:hAnsi="Times New Roman" w:cs="Times New Roman"/>
          <w:kern w:val="0"/>
          <w:szCs w:val="24"/>
        </w:rPr>
        <w:t>（</w:t>
      </w:r>
      <w:proofErr w:type="gramEnd"/>
      <w:r w:rsidRPr="00C91F96">
        <w:rPr>
          <w:rFonts w:ascii="Times New Roman" w:eastAsia="標楷體" w:hAnsi="Times New Roman" w:cs="Times New Roman"/>
          <w:kern w:val="0"/>
          <w:szCs w:val="24"/>
        </w:rPr>
        <w:t>例如：實驗用</w:t>
      </w:r>
      <w:r w:rsidRPr="00C91F96">
        <w:rPr>
          <w:rFonts w:ascii="Times New Roman" w:eastAsia="標楷體" w:hAnsi="Times New Roman" w:cs="Times New Roman"/>
          <w:kern w:val="0"/>
          <w:szCs w:val="24"/>
        </w:rPr>
        <w:t xml:space="preserve"> FITC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，補償就必須用</w:t>
      </w:r>
      <w:r w:rsidRPr="00C91F96">
        <w:rPr>
          <w:rFonts w:ascii="Times New Roman" w:eastAsia="標楷體" w:hAnsi="Times New Roman" w:cs="Times New Roman"/>
          <w:kern w:val="0"/>
          <w:szCs w:val="24"/>
        </w:rPr>
        <w:t xml:space="preserve"> FITC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，不能用</w:t>
      </w:r>
      <w:r w:rsidRPr="00C91F96">
        <w:rPr>
          <w:rFonts w:ascii="Times New Roman" w:eastAsia="標楷體" w:hAnsi="Times New Roman" w:cs="Times New Roman"/>
          <w:kern w:val="0"/>
          <w:szCs w:val="24"/>
        </w:rPr>
        <w:t xml:space="preserve"> GFP 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代替</w:t>
      </w:r>
      <w:proofErr w:type="gramStart"/>
      <w:r w:rsidRPr="00C91F96">
        <w:rPr>
          <w:rFonts w:ascii="Times New Roman" w:eastAsia="標楷體" w:hAnsi="Times New Roman" w:cs="Times New Roman"/>
          <w:kern w:val="0"/>
          <w:szCs w:val="24"/>
        </w:rPr>
        <w:t>）</w:t>
      </w:r>
      <w:proofErr w:type="gramEnd"/>
      <w:r w:rsidRPr="00C91F96">
        <w:rPr>
          <w:rFonts w:ascii="Times New Roman" w:eastAsia="標楷體" w:hAnsi="Times New Roman" w:cs="Times New Roman"/>
          <w:kern w:val="0"/>
          <w:szCs w:val="24"/>
        </w:rPr>
        <w:t>。</w:t>
      </w:r>
    </w:p>
    <w:p w:rsidR="008F3E9C" w:rsidRPr="00C91F96" w:rsidRDefault="008F3E9C" w:rsidP="00FC6CAC">
      <w:pPr>
        <w:widowControl/>
        <w:spacing w:line="440" w:lineRule="exact"/>
        <w:ind w:leftChars="118" w:left="708" w:hangingChars="177" w:hanging="425"/>
        <w:rPr>
          <w:rFonts w:ascii="Times New Roman" w:eastAsia="標楷體" w:hAnsi="Times New Roman" w:cs="Times New Roman"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(2)</w:t>
      </w:r>
      <w:r w:rsidR="00FC6CA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注意串聯染劑（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Tandem Dyes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）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：如</w:t>
      </w:r>
      <w:r w:rsidRPr="00C91F96">
        <w:rPr>
          <w:rFonts w:ascii="Times New Roman" w:eastAsia="標楷體" w:hAnsi="Times New Roman" w:cs="Times New Roman"/>
          <w:kern w:val="0"/>
          <w:szCs w:val="24"/>
        </w:rPr>
        <w:t xml:space="preserve"> PE-Cy7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、</w:t>
      </w:r>
      <w:r w:rsidRPr="00C91F96">
        <w:rPr>
          <w:rFonts w:ascii="Times New Roman" w:eastAsia="標楷體" w:hAnsi="Times New Roman" w:cs="Times New Roman"/>
          <w:kern w:val="0"/>
          <w:szCs w:val="24"/>
        </w:rPr>
        <w:t xml:space="preserve">APC-Cy7 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等串聯染劑極易因光照、溫度或批號不同而變質，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每一批、每一管實驗都必須使用完全相同批號（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Lot number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）的染劑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單獨製作補償。</w:t>
      </w:r>
    </w:p>
    <w:p w:rsidR="008F3E9C" w:rsidRPr="00C91F96" w:rsidRDefault="008F3E9C" w:rsidP="00FC6CAC">
      <w:pPr>
        <w:widowControl/>
        <w:spacing w:line="440" w:lineRule="exact"/>
        <w:ind w:leftChars="118" w:left="708" w:hangingChars="177" w:hanging="425"/>
        <w:rPr>
          <w:rFonts w:ascii="Times New Roman" w:eastAsia="標楷體" w:hAnsi="Times New Roman" w:cs="Times New Roman"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(3)</w:t>
      </w:r>
      <w:r w:rsidR="00FC6CA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細胞不夠時</w:t>
      </w:r>
      <w:r w:rsidR="00FC6CA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可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使用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Compensation Beads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：如果實驗樣本細胞量很少，或者某個抗原表現量極低，建議使用</w:t>
      </w:r>
      <w:r w:rsidR="00FC6CAC" w:rsidRPr="00C91F96">
        <w:rPr>
          <w:rFonts w:ascii="Times New Roman" w:eastAsia="標楷體" w:hAnsi="Times New Roman" w:cs="Times New Roman"/>
          <w:bCs/>
          <w:kern w:val="0"/>
          <w:szCs w:val="24"/>
        </w:rPr>
        <w:t>compensation Beads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來代替細胞製作</w:t>
      </w:r>
      <w:proofErr w:type="gramStart"/>
      <w:r w:rsidRPr="00C91F96">
        <w:rPr>
          <w:rFonts w:ascii="Times New Roman" w:eastAsia="標楷體" w:hAnsi="Times New Roman" w:cs="Times New Roman"/>
          <w:kern w:val="0"/>
          <w:szCs w:val="24"/>
        </w:rPr>
        <w:t>單染管</w:t>
      </w:r>
      <w:proofErr w:type="gramEnd"/>
      <w:r w:rsidRPr="00C91F96">
        <w:rPr>
          <w:rFonts w:ascii="Times New Roman" w:eastAsia="標楷體" w:hAnsi="Times New Roman" w:cs="Times New Roman"/>
          <w:kern w:val="0"/>
          <w:szCs w:val="24"/>
        </w:rPr>
        <w:t>。</w:t>
      </w:r>
    </w:p>
    <w:p w:rsidR="008F3E9C" w:rsidRPr="00C91F96" w:rsidRDefault="008F3E9C" w:rsidP="008F3E9C">
      <w:pPr>
        <w:widowControl/>
        <w:rPr>
          <w:rFonts w:ascii="Times New Roman" w:eastAsia="標楷體" w:hAnsi="Times New Roman" w:cs="Times New Roman"/>
          <w:b/>
          <w:bCs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3.</w:t>
      </w:r>
      <w:r w:rsidR="00FC6CA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上機與軟體設定</w:t>
      </w:r>
    </w:p>
    <w:p w:rsidR="008F3E9C" w:rsidRPr="00C91F96" w:rsidRDefault="008F3E9C" w:rsidP="00FC6CAC">
      <w:pPr>
        <w:widowControl/>
        <w:spacing w:line="440" w:lineRule="exact"/>
        <w:ind w:leftChars="118" w:left="706" w:hangingChars="176" w:hanging="423"/>
        <w:rPr>
          <w:rFonts w:ascii="Times New Roman" w:eastAsia="標楷體" w:hAnsi="Times New Roman" w:cs="Times New Roman"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(1)</w:t>
      </w:r>
      <w:r w:rsidR="00FC6CA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相同的儀器參數（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Voltage/Gain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）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：補償管與實際實驗樣本在儀器上的電壓（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Voltage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）設定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必須完全一致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。</w:t>
      </w:r>
    </w:p>
    <w:p w:rsidR="008F3E9C" w:rsidRPr="00C91F96" w:rsidRDefault="008F3E9C" w:rsidP="00FC6CAC">
      <w:pPr>
        <w:widowControl/>
        <w:spacing w:line="440" w:lineRule="exact"/>
        <w:ind w:leftChars="118" w:left="706" w:hangingChars="176" w:hanging="423"/>
        <w:rPr>
          <w:rFonts w:ascii="Times New Roman" w:eastAsia="標楷體" w:hAnsi="Times New Roman" w:cs="Times New Roman"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(2)</w:t>
      </w:r>
      <w:r w:rsidR="00FC6CAC"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先調整電壓，再計算補償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：必須先調好各通道的電壓，確保所有訊號都在偵測範圍內</w:t>
      </w:r>
      <w:r w:rsidR="00FC6CAC" w:rsidRPr="00C91F96">
        <w:rPr>
          <w:rFonts w:ascii="Times New Roman" w:eastAsia="標楷體" w:hAnsi="Times New Roman" w:cs="Times New Roman"/>
          <w:kern w:val="0"/>
          <w:szCs w:val="24"/>
        </w:rPr>
        <w:t>(</w:t>
      </w:r>
      <w:r w:rsidR="00FC6CAC" w:rsidRPr="00C91F96">
        <w:rPr>
          <w:rFonts w:ascii="Times New Roman" w:eastAsia="標楷體" w:hAnsi="Times New Roman" w:cs="Times New Roman"/>
          <w:kern w:val="0"/>
          <w:szCs w:val="24"/>
        </w:rPr>
        <w:t>螢光強度介於</w:t>
      </w:r>
      <w:r w:rsidR="00FC6CAC" w:rsidRPr="00C91F96">
        <w:rPr>
          <w:rFonts w:ascii="Times New Roman" w:eastAsia="標楷體" w:hAnsi="Times New Roman" w:cs="Times New Roman"/>
          <w:kern w:val="0"/>
          <w:szCs w:val="24"/>
        </w:rPr>
        <w:t>10~10</w:t>
      </w:r>
      <w:r w:rsidR="00FC6CAC" w:rsidRPr="00C91F96">
        <w:rPr>
          <w:rFonts w:ascii="Times New Roman" w:eastAsia="標楷體" w:hAnsi="Times New Roman" w:cs="Times New Roman"/>
          <w:kern w:val="0"/>
          <w:szCs w:val="24"/>
          <w:vertAlign w:val="superscript"/>
        </w:rPr>
        <w:t>5</w:t>
      </w:r>
      <w:r w:rsidR="00FC6CAC" w:rsidRPr="00C91F96">
        <w:rPr>
          <w:rFonts w:ascii="Times New Roman" w:eastAsia="標楷體" w:hAnsi="Times New Roman" w:cs="Times New Roman"/>
          <w:kern w:val="0"/>
          <w:szCs w:val="24"/>
        </w:rPr>
        <w:t>)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，之後才能執行補償計算。一旦補償計算完成，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絕對不能再更動電壓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。</w:t>
      </w:r>
    </w:p>
    <w:p w:rsidR="009518FF" w:rsidRPr="00BC3071" w:rsidRDefault="009518FF" w:rsidP="00FC6CAC">
      <w:pPr>
        <w:widowControl/>
        <w:spacing w:line="440" w:lineRule="exact"/>
        <w:ind w:leftChars="118" w:left="706" w:hangingChars="176" w:hanging="423"/>
        <w:rPr>
          <w:rFonts w:ascii="Times New Roman" w:eastAsia="標楷體" w:hAnsi="Times New Roman" w:cs="Times New Roman"/>
          <w:kern w:val="0"/>
          <w:szCs w:val="24"/>
        </w:rPr>
      </w:pP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(3) Compensation</w:t>
      </w:r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有手動扣除及軟體扣除兩種</w:t>
      </w:r>
      <w:bookmarkStart w:id="0" w:name="_GoBack"/>
      <w:bookmarkEnd w:id="0"/>
      <w:r w:rsidRPr="00C91F96">
        <w:rPr>
          <w:rFonts w:ascii="Times New Roman" w:eastAsia="標楷體" w:hAnsi="Times New Roman" w:cs="Times New Roman"/>
          <w:b/>
          <w:bCs/>
          <w:kern w:val="0"/>
          <w:szCs w:val="24"/>
        </w:rPr>
        <w:t>模式：手動模式由操作者自行調整電壓達到螢光扣除。軟體扣除則是收集相當數量的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unstained control</w:t>
      </w:r>
      <w:r w:rsidR="00C266D3" w:rsidRPr="00C91F96">
        <w:rPr>
          <w:rFonts w:ascii="Times New Roman" w:eastAsia="標楷體" w:hAnsi="Times New Roman" w:cs="Times New Roman"/>
          <w:kern w:val="0"/>
          <w:szCs w:val="24"/>
        </w:rPr>
        <w:t>及</w:t>
      </w:r>
      <w:r w:rsidR="00C266D3" w:rsidRPr="00C91F96">
        <w:rPr>
          <w:rFonts w:ascii="Times New Roman" w:eastAsia="標楷體" w:hAnsi="Times New Roman" w:cs="Times New Roman"/>
          <w:kern w:val="0"/>
          <w:szCs w:val="24"/>
        </w:rPr>
        <w:t>positive control</w:t>
      </w:r>
      <w:r w:rsidR="00C266D3" w:rsidRPr="00C91F96">
        <w:rPr>
          <w:rFonts w:ascii="Times New Roman" w:eastAsia="標楷體" w:hAnsi="Times New Roman" w:cs="Times New Roman"/>
          <w:kern w:val="0"/>
          <w:szCs w:val="24"/>
        </w:rPr>
        <w:t>，由軟體計算後調整電壓並進行扣除。由於軟體扣除的條件較為</w:t>
      </w:r>
      <w:proofErr w:type="gramStart"/>
      <w:r w:rsidR="00C266D3" w:rsidRPr="00C91F96">
        <w:rPr>
          <w:rFonts w:ascii="Times New Roman" w:eastAsia="標楷體" w:hAnsi="Times New Roman" w:cs="Times New Roman"/>
          <w:kern w:val="0"/>
          <w:szCs w:val="24"/>
        </w:rPr>
        <w:t>嚴格，</w:t>
      </w:r>
      <w:proofErr w:type="gramEnd"/>
      <w:r w:rsidR="00C266D3" w:rsidRPr="00C91F96">
        <w:rPr>
          <w:rFonts w:ascii="Times New Roman" w:eastAsia="標楷體" w:hAnsi="Times New Roman" w:cs="Times New Roman"/>
          <w:kern w:val="0"/>
          <w:szCs w:val="24"/>
        </w:rPr>
        <w:t>結果可能會</w:t>
      </w:r>
      <w:r w:rsidR="009A4363" w:rsidRPr="00BC3071">
        <w:rPr>
          <w:rFonts w:ascii="Times New Roman" w:eastAsia="標楷體" w:hAnsi="Times New Roman" w:cs="Times New Roman" w:hint="eastAsia"/>
          <w:kern w:val="0"/>
          <w:szCs w:val="24"/>
        </w:rPr>
        <w:t>出現</w:t>
      </w:r>
      <w:r w:rsidR="00C266D3" w:rsidRPr="00BC3071">
        <w:rPr>
          <w:rFonts w:ascii="Times New Roman" w:eastAsia="標楷體" w:hAnsi="Times New Roman" w:cs="Times New Roman"/>
          <w:kern w:val="0"/>
          <w:szCs w:val="24"/>
        </w:rPr>
        <w:t>比預期更高的扣除數據。</w:t>
      </w:r>
    </w:p>
    <w:p w:rsidR="00DD6617" w:rsidRPr="00C91F96" w:rsidRDefault="008F3E9C" w:rsidP="00C266D3">
      <w:pPr>
        <w:widowControl/>
        <w:spacing w:line="440" w:lineRule="exact"/>
        <w:ind w:leftChars="118" w:left="706" w:hangingChars="176" w:hanging="423"/>
        <w:rPr>
          <w:rFonts w:ascii="Times New Roman" w:eastAsia="標楷體" w:hAnsi="Times New Roman" w:cs="Times New Roman"/>
          <w:kern w:val="0"/>
          <w:szCs w:val="24"/>
        </w:rPr>
      </w:pPr>
      <w:r w:rsidRPr="00BC3071">
        <w:rPr>
          <w:rFonts w:ascii="Times New Roman" w:eastAsia="標楷體" w:hAnsi="Times New Roman" w:cs="Times New Roman"/>
          <w:b/>
          <w:bCs/>
          <w:kern w:val="0"/>
          <w:szCs w:val="24"/>
        </w:rPr>
        <w:t>(3)</w:t>
      </w:r>
      <w:r w:rsidR="00FC6CAC" w:rsidRPr="00BC3071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  <w:r w:rsidR="00C266D3" w:rsidRPr="00BC3071">
        <w:rPr>
          <w:rFonts w:ascii="Times New Roman" w:eastAsia="標楷體" w:hAnsi="Times New Roman" w:cs="Times New Roman"/>
          <w:b/>
          <w:bCs/>
          <w:kern w:val="0"/>
          <w:szCs w:val="24"/>
        </w:rPr>
        <w:t>軟體扣除需</w:t>
      </w:r>
      <w:r w:rsidRPr="00BC3071">
        <w:rPr>
          <w:rFonts w:ascii="Times New Roman" w:eastAsia="標楷體" w:hAnsi="Times New Roman" w:cs="Times New Roman"/>
          <w:b/>
          <w:bCs/>
          <w:kern w:val="0"/>
          <w:szCs w:val="24"/>
        </w:rPr>
        <w:t>收集足夠的細胞</w:t>
      </w:r>
      <w:r w:rsidR="009518FF" w:rsidRPr="00BC3071">
        <w:rPr>
          <w:rFonts w:ascii="Times New Roman" w:eastAsia="標楷體" w:hAnsi="Times New Roman" w:cs="Times New Roman"/>
          <w:b/>
          <w:bCs/>
          <w:kern w:val="0"/>
          <w:szCs w:val="24"/>
        </w:rPr>
        <w:t>events</w:t>
      </w:r>
      <w:r w:rsidRPr="00BC3071">
        <w:rPr>
          <w:rFonts w:ascii="Times New Roman" w:eastAsia="標楷體" w:hAnsi="Times New Roman" w:cs="Times New Roman"/>
          <w:kern w:val="0"/>
          <w:szCs w:val="24"/>
        </w:rPr>
        <w:t>：每</w:t>
      </w:r>
      <w:proofErr w:type="gramStart"/>
      <w:r w:rsidRPr="00BC3071">
        <w:rPr>
          <w:rFonts w:ascii="Times New Roman" w:eastAsia="標楷體" w:hAnsi="Times New Roman" w:cs="Times New Roman"/>
          <w:kern w:val="0"/>
          <w:szCs w:val="24"/>
        </w:rPr>
        <w:t>個單染管</w:t>
      </w:r>
      <w:proofErr w:type="gramEnd"/>
      <w:r w:rsidRPr="00BC3071">
        <w:rPr>
          <w:rFonts w:ascii="Times New Roman" w:eastAsia="標楷體" w:hAnsi="Times New Roman" w:cs="Times New Roman"/>
          <w:kern w:val="0"/>
          <w:szCs w:val="24"/>
        </w:rPr>
        <w:t>的</w:t>
      </w:r>
      <w:r w:rsidR="00FC6CAC" w:rsidRPr="00BC3071">
        <w:rPr>
          <w:rFonts w:ascii="Times New Roman" w:eastAsia="標楷體" w:hAnsi="Times New Roman" w:cs="Times New Roman"/>
          <w:kern w:val="0"/>
          <w:szCs w:val="24"/>
        </w:rPr>
        <w:t>收集數量</w:t>
      </w:r>
      <w:r w:rsidRPr="00BC3071">
        <w:rPr>
          <w:rFonts w:ascii="Times New Roman" w:eastAsia="標楷體" w:hAnsi="Times New Roman" w:cs="Times New Roman"/>
          <w:kern w:val="0"/>
          <w:szCs w:val="24"/>
        </w:rPr>
        <w:t>，</w:t>
      </w:r>
      <w:r w:rsidR="00FC6CAC" w:rsidRPr="00BC3071">
        <w:rPr>
          <w:rFonts w:ascii="Times New Roman" w:eastAsia="標楷體" w:hAnsi="Times New Roman" w:cs="Times New Roman"/>
          <w:kern w:val="0"/>
          <w:szCs w:val="24"/>
        </w:rPr>
        <w:t>unstained control</w:t>
      </w:r>
      <w:r w:rsidRPr="00BC3071">
        <w:rPr>
          <w:rFonts w:ascii="Times New Roman" w:eastAsia="標楷體" w:hAnsi="Times New Roman" w:cs="Times New Roman"/>
          <w:kern w:val="0"/>
          <w:szCs w:val="24"/>
        </w:rPr>
        <w:t>至少要收集</w:t>
      </w:r>
      <w:r w:rsidR="00FC6CAC" w:rsidRPr="00BC3071">
        <w:rPr>
          <w:rFonts w:ascii="Times New Roman" w:eastAsia="標楷體" w:hAnsi="Times New Roman" w:cs="Times New Roman"/>
          <w:kern w:val="0"/>
          <w:szCs w:val="24"/>
        </w:rPr>
        <w:t xml:space="preserve">5000 </w:t>
      </w:r>
      <w:r w:rsidRPr="00BC3071">
        <w:rPr>
          <w:rFonts w:ascii="Times New Roman" w:eastAsia="標楷體" w:hAnsi="Times New Roman" w:cs="Times New Roman"/>
          <w:kern w:val="0"/>
          <w:szCs w:val="24"/>
        </w:rPr>
        <w:t>Events</w:t>
      </w:r>
      <w:r w:rsidR="00FC6CAC" w:rsidRPr="00BC3071">
        <w:rPr>
          <w:rFonts w:ascii="Times New Roman" w:eastAsia="標楷體" w:hAnsi="Times New Roman" w:cs="Times New Roman"/>
          <w:kern w:val="0"/>
          <w:szCs w:val="24"/>
        </w:rPr>
        <w:t>，</w:t>
      </w:r>
      <w:r w:rsidR="00FC6CAC" w:rsidRPr="00BC3071">
        <w:rPr>
          <w:rFonts w:ascii="Times New Roman" w:eastAsia="標楷體" w:hAnsi="Times New Roman" w:cs="Times New Roman"/>
          <w:kern w:val="0"/>
          <w:szCs w:val="24"/>
        </w:rPr>
        <w:t>positive control</w:t>
      </w:r>
      <w:r w:rsidR="00FC6CAC" w:rsidRPr="00BC3071">
        <w:rPr>
          <w:rFonts w:ascii="Times New Roman" w:eastAsia="標楷體" w:hAnsi="Times New Roman" w:cs="Times New Roman"/>
          <w:kern w:val="0"/>
          <w:szCs w:val="24"/>
        </w:rPr>
        <w:t>組至少需收集</w:t>
      </w:r>
      <w:r w:rsidR="00DA1A70" w:rsidRPr="00BC3071">
        <w:rPr>
          <w:rFonts w:ascii="Times New Roman" w:eastAsia="標楷體" w:hAnsi="Times New Roman" w:cs="Times New Roman" w:hint="eastAsia"/>
          <w:kern w:val="0"/>
          <w:szCs w:val="24"/>
        </w:rPr>
        <w:t>高於背景值</w:t>
      </w:r>
      <w:r w:rsidR="00DA1A70" w:rsidRPr="00BC3071">
        <w:rPr>
          <w:rFonts w:ascii="Times New Roman" w:eastAsia="標楷體" w:hAnsi="Times New Roman" w:cs="Times New Roman" w:hint="eastAsia"/>
          <w:kern w:val="0"/>
          <w:szCs w:val="24"/>
        </w:rPr>
        <w:t>(P2)</w:t>
      </w:r>
      <w:r w:rsidR="00DA1A70" w:rsidRPr="00BC3071">
        <w:rPr>
          <w:rFonts w:ascii="Times New Roman" w:eastAsia="標楷體" w:hAnsi="Times New Roman" w:cs="Times New Roman" w:hint="eastAsia"/>
          <w:kern w:val="0"/>
          <w:szCs w:val="24"/>
        </w:rPr>
        <w:t>的</w:t>
      </w:r>
      <w:r w:rsidR="00FC6CAC" w:rsidRPr="00BC3071">
        <w:rPr>
          <w:rFonts w:ascii="Times New Roman" w:eastAsia="標楷體" w:hAnsi="Times New Roman" w:cs="Times New Roman"/>
          <w:kern w:val="0"/>
          <w:szCs w:val="24"/>
        </w:rPr>
        <w:t>150</w:t>
      </w:r>
      <w:r w:rsidR="00FC6CAC" w:rsidRPr="00C91F96">
        <w:rPr>
          <w:rFonts w:ascii="Times New Roman" w:eastAsia="標楷體" w:hAnsi="Times New Roman" w:cs="Times New Roman"/>
          <w:kern w:val="0"/>
          <w:szCs w:val="24"/>
        </w:rPr>
        <w:t xml:space="preserve"> events </w:t>
      </w:r>
      <w:r w:rsidR="00FC6CAC" w:rsidRPr="00C91F96">
        <w:rPr>
          <w:rFonts w:ascii="Times New Roman" w:eastAsia="標楷體" w:hAnsi="Times New Roman" w:cs="Times New Roman"/>
          <w:kern w:val="0"/>
          <w:szCs w:val="24"/>
        </w:rPr>
        <w:t>或以上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，軟體計算出的補償矩陣才會</w:t>
      </w:r>
      <w:r w:rsidR="00FC6CAC" w:rsidRPr="00C91F96">
        <w:rPr>
          <w:rFonts w:ascii="Times New Roman" w:eastAsia="標楷體" w:hAnsi="Times New Roman" w:cs="Times New Roman"/>
          <w:kern w:val="0"/>
          <w:szCs w:val="24"/>
        </w:rPr>
        <w:t>較</w:t>
      </w:r>
      <w:r w:rsidRPr="00C91F96">
        <w:rPr>
          <w:rFonts w:ascii="Times New Roman" w:eastAsia="標楷體" w:hAnsi="Times New Roman" w:cs="Times New Roman"/>
          <w:kern w:val="0"/>
          <w:szCs w:val="24"/>
        </w:rPr>
        <w:t>精</w:t>
      </w:r>
      <w:proofErr w:type="gramStart"/>
      <w:r w:rsidRPr="00C91F96">
        <w:rPr>
          <w:rFonts w:ascii="Times New Roman" w:eastAsia="標楷體" w:hAnsi="Times New Roman" w:cs="Times New Roman"/>
          <w:kern w:val="0"/>
          <w:szCs w:val="24"/>
        </w:rPr>
        <w:t>準</w:t>
      </w:r>
      <w:proofErr w:type="gramEnd"/>
      <w:r w:rsidRPr="00C91F96">
        <w:rPr>
          <w:rFonts w:ascii="Times New Roman" w:eastAsia="標楷體" w:hAnsi="Times New Roman" w:cs="Times New Roman"/>
          <w:kern w:val="0"/>
          <w:szCs w:val="24"/>
        </w:rPr>
        <w:t>。</w:t>
      </w:r>
    </w:p>
    <w:p w:rsidR="00902175" w:rsidRPr="00C91F96" w:rsidRDefault="00902175" w:rsidP="00C266D3">
      <w:pPr>
        <w:widowControl/>
        <w:spacing w:line="440" w:lineRule="exact"/>
        <w:ind w:leftChars="118" w:left="705" w:hangingChars="176" w:hanging="422"/>
        <w:rPr>
          <w:rFonts w:ascii="Times New Roman" w:eastAsia="標楷體" w:hAnsi="Times New Roman" w:cs="Times New Roman"/>
          <w:szCs w:val="24"/>
        </w:rPr>
      </w:pPr>
    </w:p>
    <w:p w:rsidR="00902175" w:rsidRPr="00C91F96" w:rsidRDefault="00902175" w:rsidP="00C266D3">
      <w:pPr>
        <w:widowControl/>
        <w:spacing w:line="440" w:lineRule="exact"/>
        <w:ind w:leftChars="118" w:left="705" w:hangingChars="176" w:hanging="422"/>
        <w:rPr>
          <w:rFonts w:ascii="Times New Roman" w:eastAsia="標楷體" w:hAnsi="Times New Roman" w:cs="Times New Roman"/>
          <w:szCs w:val="24"/>
        </w:rPr>
      </w:pPr>
    </w:p>
    <w:p w:rsidR="00902175" w:rsidRPr="00C91F96" w:rsidRDefault="00902175" w:rsidP="00902175">
      <w:pPr>
        <w:widowControl/>
        <w:spacing w:line="440" w:lineRule="exact"/>
        <w:ind w:leftChars="118" w:left="705" w:hangingChars="176" w:hanging="422"/>
        <w:jc w:val="right"/>
        <w:rPr>
          <w:rFonts w:ascii="Times New Roman" w:eastAsia="標楷體" w:hAnsi="Times New Roman" w:cs="Times New Roman"/>
          <w:szCs w:val="24"/>
        </w:rPr>
      </w:pPr>
      <w:r w:rsidRPr="00C91F96">
        <w:rPr>
          <w:rFonts w:ascii="Times New Roman" w:eastAsia="標楷體" w:hAnsi="Times New Roman" w:cs="Times New Roman"/>
          <w:szCs w:val="24"/>
        </w:rPr>
        <w:t>流式細胞核心實驗室</w:t>
      </w:r>
      <w:r w:rsidR="00BC2BD1" w:rsidRPr="00C91F96">
        <w:rPr>
          <w:rFonts w:ascii="Times New Roman" w:eastAsia="標楷體" w:hAnsi="Times New Roman" w:cs="Times New Roman"/>
          <w:szCs w:val="24"/>
        </w:rPr>
        <w:t>(</w:t>
      </w:r>
      <w:r w:rsidR="00BC2BD1" w:rsidRPr="00C91F96">
        <w:rPr>
          <w:rFonts w:ascii="Times New Roman" w:eastAsia="標楷體" w:hAnsi="Times New Roman" w:cs="Times New Roman"/>
          <w:szCs w:val="24"/>
        </w:rPr>
        <w:t>陳美芳</w:t>
      </w:r>
      <w:r w:rsidR="00BC2BD1" w:rsidRPr="00C91F96">
        <w:rPr>
          <w:rFonts w:ascii="Times New Roman" w:eastAsia="標楷體" w:hAnsi="Times New Roman" w:cs="Times New Roman"/>
          <w:szCs w:val="24"/>
        </w:rPr>
        <w:t>)</w:t>
      </w:r>
      <w:r w:rsidRPr="00C91F96">
        <w:rPr>
          <w:rFonts w:ascii="Times New Roman" w:eastAsia="標楷體" w:hAnsi="Times New Roman" w:cs="Times New Roman"/>
          <w:szCs w:val="24"/>
        </w:rPr>
        <w:t xml:space="preserve"> 2026/7/21</w:t>
      </w:r>
      <w:r w:rsidRPr="00C91F96">
        <w:rPr>
          <w:rFonts w:ascii="Times New Roman" w:eastAsia="標楷體" w:hAnsi="Times New Roman" w:cs="Times New Roman"/>
          <w:szCs w:val="24"/>
        </w:rPr>
        <w:t>製作</w:t>
      </w:r>
      <w:r w:rsidRPr="00C91F96">
        <w:rPr>
          <w:rFonts w:ascii="Times New Roman" w:eastAsia="標楷體" w:hAnsi="Times New Roman" w:cs="Times New Roman"/>
          <w:szCs w:val="24"/>
        </w:rPr>
        <w:t xml:space="preserve"> </w:t>
      </w:r>
    </w:p>
    <w:sectPr w:rsidR="00902175" w:rsidRPr="00C91F96" w:rsidSect="008F3E9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96802"/>
    <w:multiLevelType w:val="hybridMultilevel"/>
    <w:tmpl w:val="BA6C6192"/>
    <w:lvl w:ilvl="0" w:tplc="0409000F">
      <w:start w:val="1"/>
      <w:numFmt w:val="decimal"/>
      <w:lvlText w:val="%1."/>
      <w:lvlJc w:val="left"/>
      <w:pPr>
        <w:ind w:left="1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">
    <w:nsid w:val="11F75B88"/>
    <w:multiLevelType w:val="hybridMultilevel"/>
    <w:tmpl w:val="41F0FAA6"/>
    <w:lvl w:ilvl="0" w:tplc="32D440BE">
      <w:numFmt w:val="bullet"/>
      <w:lvlText w:val=""/>
      <w:lvlJc w:val="left"/>
      <w:pPr>
        <w:ind w:left="468" w:hanging="468"/>
      </w:pPr>
      <w:rPr>
        <w:rFonts w:ascii="微軟正黑體" w:eastAsia="微軟正黑體" w:hAnsi="微軟正黑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54B7275"/>
    <w:multiLevelType w:val="hybridMultilevel"/>
    <w:tmpl w:val="9CC80F32"/>
    <w:lvl w:ilvl="0" w:tplc="BEF2F0D4">
      <w:numFmt w:val="bullet"/>
      <w:lvlText w:val=""/>
      <w:lvlJc w:val="left"/>
      <w:pPr>
        <w:ind w:left="480" w:hanging="480"/>
      </w:pPr>
      <w:rPr>
        <w:rFonts w:ascii="微軟正黑體" w:eastAsia="微軟正黑體" w:hAnsi="微軟正黑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335C128A"/>
    <w:multiLevelType w:val="multilevel"/>
    <w:tmpl w:val="FC5C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FC187A"/>
    <w:multiLevelType w:val="multilevel"/>
    <w:tmpl w:val="56A6A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A71852"/>
    <w:multiLevelType w:val="multilevel"/>
    <w:tmpl w:val="60621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7F7467"/>
    <w:multiLevelType w:val="hybridMultilevel"/>
    <w:tmpl w:val="BD528AF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7D8D6CD2"/>
    <w:multiLevelType w:val="multilevel"/>
    <w:tmpl w:val="60621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E9C"/>
    <w:rsid w:val="001D6621"/>
    <w:rsid w:val="00217B18"/>
    <w:rsid w:val="008F3E9C"/>
    <w:rsid w:val="00902175"/>
    <w:rsid w:val="009518FF"/>
    <w:rsid w:val="009A4363"/>
    <w:rsid w:val="00BC2BD1"/>
    <w:rsid w:val="00BC3071"/>
    <w:rsid w:val="00C266D3"/>
    <w:rsid w:val="00C91F96"/>
    <w:rsid w:val="00CB4BDC"/>
    <w:rsid w:val="00DA1A70"/>
    <w:rsid w:val="00DD6617"/>
    <w:rsid w:val="00FC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D646BE-D82E-4C09-92D0-8C8BD993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286pc">
    <w:name w:val="t286pc"/>
    <w:basedOn w:val="a0"/>
    <w:rsid w:val="008F3E9C"/>
  </w:style>
  <w:style w:type="character" w:styleId="a3">
    <w:name w:val="Strong"/>
    <w:basedOn w:val="a0"/>
    <w:uiPriority w:val="22"/>
    <w:qFormat/>
    <w:rsid w:val="008F3E9C"/>
    <w:rPr>
      <w:b/>
      <w:bCs/>
    </w:rPr>
  </w:style>
  <w:style w:type="paragraph" w:customStyle="1" w:styleId="z1qcye">
    <w:name w:val="z1qcye"/>
    <w:basedOn w:val="a"/>
    <w:rsid w:val="008F3E9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8F3E9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3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37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3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627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2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25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vghuser</dc:creator>
  <cp:keywords/>
  <dc:description/>
  <cp:lastModifiedBy>Microsoft 帳戶</cp:lastModifiedBy>
  <cp:revision>2</cp:revision>
  <dcterms:created xsi:type="dcterms:W3CDTF">2026-07-23T03:02:00Z</dcterms:created>
  <dcterms:modified xsi:type="dcterms:W3CDTF">2026-07-23T03:02:00Z</dcterms:modified>
</cp:coreProperties>
</file>