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BA6EC0" w:rsidRPr="00BA6EC0" w:rsidTr="00B076A8">
        <w:trPr>
          <w:jc w:val="center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85286C" w:rsidRPr="00BA6EC0" w:rsidRDefault="0085286C" w:rsidP="0085286C">
            <w:pPr>
              <w:tabs>
                <w:tab w:val="left" w:pos="6120"/>
              </w:tabs>
              <w:snapToGrid w:val="0"/>
              <w:jc w:val="distribute"/>
              <w:textDirection w:val="lrTbV"/>
              <w:rPr>
                <w:rFonts w:ascii="標楷體" w:eastAsia="標楷體"/>
                <w:spacing w:val="24"/>
                <w:sz w:val="32"/>
                <w:szCs w:val="32"/>
              </w:rPr>
            </w:pPr>
            <w:r w:rsidRPr="00BA6EC0">
              <w:rPr>
                <w:rFonts w:ascii="標楷體" w:eastAsia="標楷體" w:hint="eastAsia"/>
                <w:sz w:val="32"/>
                <w:szCs w:val="32"/>
              </w:rPr>
              <w:t>臺北榮民總醫院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86C" w:rsidRPr="00BA6EC0" w:rsidRDefault="0085286C" w:rsidP="0085286C">
            <w:pPr>
              <w:tabs>
                <w:tab w:val="left" w:pos="6120"/>
              </w:tabs>
              <w:snapToGrid w:val="0"/>
              <w:spacing w:beforeLines="50" w:before="180" w:afterLines="50" w:after="180"/>
              <w:jc w:val="distribute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BA6EC0">
              <w:rPr>
                <w:rFonts w:ascii="標楷體" w:eastAsia="標楷體" w:hint="eastAsia"/>
                <w:sz w:val="32"/>
                <w:szCs w:val="32"/>
              </w:rPr>
              <w:t>教學與研究合作合約書</w:t>
            </w:r>
          </w:p>
        </w:tc>
      </w:tr>
      <w:tr w:rsidR="00BA6EC0" w:rsidRPr="00BA6EC0" w:rsidTr="00B076A8">
        <w:trPr>
          <w:trHeight w:val="149"/>
          <w:jc w:val="center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85286C" w:rsidRPr="00BA6EC0" w:rsidRDefault="007B04DD" w:rsidP="0056499B">
            <w:pPr>
              <w:tabs>
                <w:tab w:val="left" w:pos="6120"/>
              </w:tabs>
              <w:snapToGrid w:val="0"/>
              <w:jc w:val="distribute"/>
              <w:textDirection w:val="lrTbV"/>
              <w:rPr>
                <w:rFonts w:ascii="標楷體" w:eastAsia="標楷體"/>
                <w:spacing w:val="24"/>
                <w:sz w:val="32"/>
                <w:szCs w:val="32"/>
              </w:rPr>
            </w:pPr>
            <w:r w:rsidRPr="00BA6EC0">
              <w:rPr>
                <w:rFonts w:ascii="標楷體" w:eastAsia="標楷體" w:hint="eastAsia"/>
                <w:sz w:val="32"/>
                <w:szCs w:val="32"/>
              </w:rPr>
              <w:sym w:font="Wingdings 2" w:char="F099"/>
            </w:r>
            <w:r w:rsidRPr="00BA6EC0">
              <w:rPr>
                <w:rFonts w:ascii="標楷體" w:eastAsia="標楷體" w:hint="eastAsia"/>
                <w:sz w:val="32"/>
                <w:szCs w:val="32"/>
              </w:rPr>
              <w:sym w:font="Wingdings 2" w:char="F099"/>
            </w:r>
            <w:r w:rsidRPr="00BA6EC0">
              <w:rPr>
                <w:rFonts w:ascii="標楷體" w:eastAsia="標楷體" w:hint="eastAsia"/>
                <w:sz w:val="32"/>
                <w:szCs w:val="32"/>
              </w:rPr>
              <w:t>醫院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85286C" w:rsidRPr="00BA6EC0" w:rsidRDefault="0085286C" w:rsidP="0085286C">
            <w:pPr>
              <w:tabs>
                <w:tab w:val="left" w:pos="6120"/>
              </w:tabs>
              <w:spacing w:beforeLines="50" w:before="180" w:afterLines="50" w:after="180"/>
              <w:jc w:val="both"/>
              <w:textDirection w:val="lrTbV"/>
              <w:rPr>
                <w:rFonts w:ascii="標楷體" w:eastAsia="標楷體"/>
                <w:spacing w:val="24"/>
              </w:rPr>
            </w:pPr>
          </w:p>
        </w:tc>
      </w:tr>
    </w:tbl>
    <w:p w:rsidR="0085286C" w:rsidRPr="0093036A" w:rsidRDefault="004C5B68" w:rsidP="004C5B68">
      <w:pPr>
        <w:tabs>
          <w:tab w:val="left" w:pos="6120"/>
        </w:tabs>
        <w:adjustRightInd w:val="0"/>
        <w:spacing w:line="360" w:lineRule="atLeast"/>
        <w:jc w:val="right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93036A">
        <w:rPr>
          <w:rFonts w:ascii="Times New Roman" w:eastAsia="標楷體" w:hAnsi="Times New Roman" w:cs="Times New Roman"/>
          <w:spacing w:val="24"/>
          <w:kern w:val="0"/>
          <w:szCs w:val="20"/>
        </w:rPr>
        <w:t>(</w:t>
      </w:r>
      <w:r w:rsidR="000711F0" w:rsidRPr="000711F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112.07.27</w:t>
      </w:r>
      <w:r w:rsidR="000711F0" w:rsidRPr="000711F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修正</w:t>
      </w:r>
      <w:r w:rsidRPr="0093036A">
        <w:rPr>
          <w:rFonts w:ascii="Times New Roman" w:eastAsia="標楷體" w:hAnsi="Times New Roman" w:cs="Times New Roman"/>
          <w:spacing w:val="24"/>
          <w:kern w:val="0"/>
          <w:szCs w:val="20"/>
        </w:rPr>
        <w:t>)</w:t>
      </w:r>
    </w:p>
    <w:p w:rsidR="0085286C" w:rsidRPr="00BA6EC0" w:rsidRDefault="00D00E1C" w:rsidP="0085286C">
      <w:pPr>
        <w:tabs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臺北榮民總醫院（以下簡稱甲方）與</w:t>
      </w:r>
      <w:r w:rsidR="00301969" w:rsidRPr="00301969">
        <w:rPr>
          <w:rFonts w:ascii="標楷體" w:eastAsia="標楷體" w:hAnsi="Times New Roman" w:cs="Times New Roman" w:hint="eastAsia"/>
          <w:spacing w:val="24"/>
          <w:kern w:val="0"/>
          <w:szCs w:val="20"/>
        </w:rPr>
        <w:t>○○</w:t>
      </w:r>
      <w:bookmarkStart w:id="0" w:name="_GoBack"/>
      <w:bookmarkEnd w:id="0"/>
      <w:r w:rsidR="00301969" w:rsidRPr="00301969">
        <w:rPr>
          <w:rFonts w:ascii="標楷體" w:eastAsia="標楷體" w:hAnsi="Times New Roman" w:cs="Times New Roman" w:hint="eastAsia"/>
          <w:spacing w:val="24"/>
          <w:kern w:val="0"/>
          <w:szCs w:val="20"/>
        </w:rPr>
        <w:t>醫院</w:t>
      </w: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（以下簡稱乙方），為加強雙方教學、研究與學術合作交流，以期促進醫學之進步，造福病患，特訂立本約，條約如後，以茲共同遵守：</w:t>
      </w:r>
    </w:p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</w:p>
    <w:p w:rsidR="0085286C" w:rsidRPr="00BA6EC0" w:rsidRDefault="00E8714E" w:rsidP="00EE7EBA">
      <w:pPr>
        <w:tabs>
          <w:tab w:val="left" w:pos="6120"/>
        </w:tabs>
        <w:adjustRightInd w:val="0"/>
        <w:spacing w:afterLines="50" w:after="180" w:line="360" w:lineRule="atLeast"/>
        <w:ind w:left="516" w:hangingChars="179" w:hanging="51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壹、甲、乙雙方互相尊重、互不干涉對方行政管理，但為促進雙方教學及研究合作關係，得就相關議題相互協調，擬訂決策，促進人才培育、研究交流。</w:t>
      </w:r>
    </w:p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ind w:left="564" w:hangingChars="196" w:hanging="564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貳、教育訓練</w:t>
      </w:r>
    </w:p>
    <w:p w:rsidR="0085286C" w:rsidRPr="00BA6EC0" w:rsidRDefault="00C22466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一、甲、乙雙方得循對方之請，派遣醫師或其他醫事職類等人員定期或不定期赴對方作</w:t>
      </w: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專題演講</w:t>
      </w: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、研究、教學及醫療技術指導；涉及醫療執業相關行為者，應另簽訂醫療支援合作合約書。該等人員行前須先徵得其專任職務機構同意後始進行。</w:t>
      </w:r>
    </w:p>
    <w:p w:rsidR="0085286C" w:rsidRPr="00BA6EC0" w:rsidRDefault="007936F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二、甲方辦理各類教育訓練課程，甲方得於容額許可下，優先配予乙方，乙方視實際需要選派人員參與。</w:t>
      </w:r>
    </w:p>
    <w:p w:rsidR="0085286C" w:rsidRPr="00BA6EC0" w:rsidRDefault="000F5F90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0F5F90">
        <w:rPr>
          <w:rFonts w:ascii="標楷體" w:eastAsia="標楷體" w:hAnsi="Times New Roman" w:cs="Times New Roman" w:hint="eastAsia"/>
          <w:spacing w:val="24"/>
          <w:kern w:val="0"/>
          <w:szCs w:val="20"/>
        </w:rPr>
        <w:t>三、乙方視實際需要，遴派醫、護、技術等人員至甲方進修訓練時，甲方應優先受理，惟其送訓資格、費用及期限等悉依甲方規定，並事先擬妥聯合訓練計畫書。</w:t>
      </w:r>
    </w:p>
    <w:p w:rsidR="0085286C" w:rsidRPr="00BA6EC0" w:rsidRDefault="00043F49" w:rsidP="00531653">
      <w:pPr>
        <w:tabs>
          <w:tab w:val="left" w:pos="6120"/>
        </w:tabs>
        <w:adjustRightInd w:val="0"/>
        <w:spacing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四、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住院醫師訓練：</w:t>
      </w:r>
    </w:p>
    <w:p w:rsidR="0085286C" w:rsidRPr="00BA6EC0" w:rsidRDefault="00C41462" w:rsidP="002C662C">
      <w:pPr>
        <w:tabs>
          <w:tab w:val="left" w:pos="709"/>
        </w:tabs>
        <w:adjustRightInd w:val="0"/>
        <w:spacing w:line="360" w:lineRule="atLeast"/>
        <w:ind w:leftChars="354" w:left="1414" w:hangingChars="196" w:hanging="564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(一)甲方得依乙方需求代訓住院醫師若干名，其代訓期限、聯合訓練計畫書擬訂、相對支援人力成本之派遣計算等，依甲方規定，惟得事先磋商議定之。</w:t>
      </w:r>
    </w:p>
    <w:p w:rsidR="0085286C" w:rsidRPr="00BA6EC0" w:rsidRDefault="001546BE" w:rsidP="00B51904">
      <w:pPr>
        <w:tabs>
          <w:tab w:val="left" w:pos="709"/>
        </w:tabs>
        <w:adjustRightInd w:val="0"/>
        <w:spacing w:afterLines="50" w:after="180" w:line="360" w:lineRule="atLeast"/>
        <w:ind w:leftChars="354" w:left="1414" w:hangingChars="196" w:hanging="564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(二)甲方住院醫師依各專科之住院醫師訓練計畫得輪訓至乙方者，其期限及訓練學程依各有關專科醫學會規定，待遇及考績仍由甲方負責，但衍生之薪資成本移轉，依甲方規定，由乙方支付。</w:t>
      </w:r>
    </w:p>
    <w:p w:rsidR="00CB2944" w:rsidRPr="00BA6EC0" w:rsidRDefault="00B07598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五、乙方遴派至甲方之進修人員，若經甲方依訓練計畫認定須申請甲方醫療作業系統權限者，應加入甲方醫療糾紛互助金。</w:t>
      </w:r>
    </w:p>
    <w:p w:rsidR="0085286C" w:rsidRPr="00BA6EC0" w:rsidRDefault="00CB2944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六</w:t>
      </w:r>
      <w:r w:rsidR="00043F49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、</w:t>
      </w:r>
      <w:r w:rsidR="0072259D" w:rsidRPr="0072259D">
        <w:rPr>
          <w:rFonts w:ascii="標楷體" w:eastAsia="標楷體" w:hAnsi="Times New Roman" w:cs="Times New Roman" w:hint="eastAsia"/>
          <w:spacing w:val="24"/>
          <w:kern w:val="0"/>
          <w:szCs w:val="20"/>
        </w:rPr>
        <w:t>除雙方簽訂之醫療合作支援合約另有規定外，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甲乙雙方之一方派員參與對方之臨床指導或合作訓練，如因之而產生醫療糾紛或法律責任時，</w:t>
      </w:r>
      <w:r w:rsidR="0067246A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經甲乙雙方會商</w:t>
      </w:r>
      <w:r w:rsidR="001A4C0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後</w:t>
      </w:r>
      <w:r w:rsidR="00C9442A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由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實施醫療</w:t>
      </w:r>
      <w:r w:rsidR="0067246A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行為之醫院負責</w:t>
      </w:r>
      <w:r w:rsidR="001A4C0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處理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(含醫療訴訟或慰助相關費用)</w:t>
      </w:r>
      <w:r w:rsidR="00B93D8F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，對方給予必要協助</w:t>
      </w:r>
      <w:r w:rsidR="00BD6DEB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。</w:t>
      </w:r>
    </w:p>
    <w:p w:rsidR="005C506A" w:rsidRDefault="00CB2944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七</w:t>
      </w:r>
      <w:r w:rsidR="00043F49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、</w:t>
      </w:r>
      <w:r w:rsidR="005C506A" w:rsidRPr="005C506A">
        <w:rPr>
          <w:rFonts w:ascii="標楷體" w:eastAsia="標楷體" w:hAnsi="標楷體" w:cs="Times New Roman" w:hint="eastAsia"/>
          <w:spacing w:val="24"/>
          <w:kern w:val="0"/>
          <w:szCs w:val="20"/>
        </w:rPr>
        <w:t>本合約有關事項涉訟時，雙方同意以臺灣士林地方法院為第一審管轄法院。</w:t>
      </w:r>
    </w:p>
    <w:p w:rsidR="004C5B68" w:rsidRPr="00BA6EC0" w:rsidRDefault="0068389F" w:rsidP="00D830B8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>
        <w:rPr>
          <w:rFonts w:ascii="標楷體" w:eastAsia="標楷體" w:hAnsi="標楷體" w:cs="Times New Roman" w:hint="eastAsia"/>
          <w:spacing w:val="24"/>
          <w:kern w:val="0"/>
          <w:szCs w:val="20"/>
        </w:rPr>
        <w:t>八、</w:t>
      </w:r>
      <w:r w:rsidR="00D830B8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乙方醫、護等醫事人員出缺時，得視需要優先洽請甲方推薦具有適任資格人員延聘之。</w:t>
      </w:r>
    </w:p>
    <w:p w:rsidR="0085286C" w:rsidRPr="00BA6EC0" w:rsidRDefault="0085286C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lastRenderedPageBreak/>
        <w:t>參、研究發展</w:t>
      </w:r>
    </w:p>
    <w:p w:rsidR="003239F0" w:rsidRPr="00BA6EC0" w:rsidRDefault="00730A41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一、雙方為進行學術研究，得</w:t>
      </w:r>
      <w:r w:rsidRPr="00BA6EC0">
        <w:rPr>
          <w:rFonts w:ascii="標楷體" w:eastAsia="標楷體" w:hAnsi="標楷體" w:cs="Times New Roman" w:hint="eastAsia"/>
          <w:kern w:val="24"/>
          <w:szCs w:val="24"/>
        </w:rPr>
        <w:t>另以契約</w:t>
      </w:r>
      <w:r w:rsidRPr="00BA6EC0">
        <w:rPr>
          <w:rFonts w:ascii="標楷體" w:eastAsia="標楷體" w:hAnsi="標楷體" w:cs="Times New Roman" w:hint="eastAsia"/>
          <w:kern w:val="24"/>
          <w:szCs w:val="20"/>
        </w:rPr>
        <w:t>商定</w:t>
      </w: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專案或合作研究計畫，所需經費由各該專案或合作研究計畫中另議之。</w:t>
      </w:r>
    </w:p>
    <w:p w:rsidR="0085286C" w:rsidRPr="00BA6EC0" w:rsidRDefault="00730A41" w:rsidP="004C5B68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二、雙方合作之研究成果、利用雙方資源共同完成研究報告及論文時，應以雙方名義發表，研究成果產出之相關技術專利權、著作權及其他相關智慧財產權及其衍生利益之分配，由雙方本於互惠之原則於合作計畫個案之合約內訂定之。</w:t>
      </w:r>
    </w:p>
    <w:p w:rsidR="0085286C" w:rsidRPr="00BA6EC0" w:rsidRDefault="00C02E2B" w:rsidP="00FC4DD5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三、雙方經臨床醫療或研究發展所獲致之技術、著作、產品、電腦軟體、專業知識、營業秘密及因而取得國內、外之專利權、著作權及其他智慧財產與所有衍生權利，其歸屬比例另以契約約定之。</w:t>
      </w:r>
    </w:p>
    <w:p w:rsidR="0085286C" w:rsidRPr="00BA6EC0" w:rsidRDefault="0085286C" w:rsidP="0085286C">
      <w:pPr>
        <w:tabs>
          <w:tab w:val="left" w:pos="993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肆、資源共享</w:t>
      </w:r>
    </w:p>
    <w:p w:rsidR="0085286C" w:rsidRPr="00BA6EC0" w:rsidRDefault="00F8359F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一、甲、乙雙方在不影響教學及研究資源正常使用及容量下，得經雙方同意，必要時另訂協議，提供教學、研究設施、場地、活動、儀器及圖書互借等，以有益於雙方教學研究水準之提升。</w:t>
      </w:r>
    </w:p>
    <w:p w:rsidR="0085286C" w:rsidRPr="00BA6EC0" w:rsidRDefault="004E6AEB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二、上述設施及資源之管理及維護，由財產歸屬之一方負責，申請方應遵守管理方有關租借或成本管理相關規定。若因申請方不當使用致生損壞或損害，其相關處理費用及對第三人之賠償，申請方應負賠償之責。</w:t>
      </w:r>
    </w:p>
    <w:p w:rsidR="0085286C" w:rsidRPr="00BA6EC0" w:rsidRDefault="00EB08BF" w:rsidP="0039627E">
      <w:pPr>
        <w:tabs>
          <w:tab w:val="left" w:pos="993"/>
        </w:tabs>
        <w:adjustRightInd w:val="0"/>
        <w:spacing w:afterLines="50" w:after="180" w:line="360" w:lineRule="atLeast"/>
        <w:ind w:left="564" w:hangingChars="196" w:hanging="564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伍、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本合約期間自○○○年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月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日起至○○○年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Pr="00BA6EC0">
        <w:rPr>
          <w:rFonts w:ascii="Times New Roman" w:eastAsia="標楷體" w:hAnsi="Times New Roman" w:cs="Times New Roman"/>
          <w:spacing w:val="24"/>
          <w:kern w:val="0"/>
          <w:szCs w:val="20"/>
        </w:rPr>
        <w:t>2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月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3</w:t>
      </w:r>
      <w:r w:rsidRPr="00BA6EC0">
        <w:rPr>
          <w:rFonts w:ascii="Times New Roman" w:eastAsia="標楷體" w:hAnsi="Times New Roman" w:cs="Times New Roman"/>
          <w:spacing w:val="24"/>
          <w:kern w:val="0"/>
          <w:szCs w:val="20"/>
        </w:rPr>
        <w:t>1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日止。本合約經雙方簽署後溯自合約期間之始日生效</w:t>
      </w: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。</w:t>
      </w:r>
      <w:r w:rsidRPr="00BA6EC0">
        <w:rPr>
          <w:rFonts w:ascii="Times New Roman" w:eastAsia="標楷體" w:hAnsi="Times New Roman" w:cs="Times New Roman" w:hint="eastAsia"/>
          <w:spacing w:val="10"/>
          <w:szCs w:val="24"/>
        </w:rPr>
        <w:t>任何一方如認為本合約書之合作目的已不復存在而欲終止合約時，應於六個月前以書面向他方提出。</w:t>
      </w:r>
    </w:p>
    <w:p w:rsidR="0085286C" w:rsidRPr="00BA6EC0" w:rsidRDefault="00147E15" w:rsidP="0039627E">
      <w:pPr>
        <w:tabs>
          <w:tab w:val="left" w:pos="993"/>
        </w:tabs>
        <w:adjustRightInd w:val="0"/>
        <w:spacing w:afterLines="50" w:after="180" w:line="360" w:lineRule="atLeast"/>
        <w:ind w:left="564" w:hangingChars="196" w:hanging="564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陸、本合約如有未盡事宜，應由雙方依誠信原則協商並以書面修正之。</w:t>
      </w:r>
    </w:p>
    <w:p w:rsidR="0085286C" w:rsidRPr="00BA6EC0" w:rsidRDefault="0085286C" w:rsidP="0085286C">
      <w:pPr>
        <w:tabs>
          <w:tab w:val="left" w:pos="993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柒、本合約書一式四份，甲乙雙方各執二份存照。</w:t>
      </w:r>
    </w:p>
    <w:p w:rsidR="000D195D" w:rsidRPr="00BA6EC0" w:rsidRDefault="000D195D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CB2944" w:rsidRPr="00BA6EC0" w:rsidRDefault="00CB2944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85286C" w:rsidRPr="00BA6EC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甲方：臺北榮民總醫院</w:t>
      </w:r>
    </w:p>
    <w:p w:rsidR="0085286C" w:rsidRPr="00BA6EC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地址：台北市北投區石牌路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2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段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201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號</w:t>
      </w:r>
    </w:p>
    <w:p w:rsidR="0085286C" w:rsidRPr="00BA6EC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院長：</w:t>
      </w:r>
      <w:r w:rsidR="003B6A0A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陳威明</w:t>
      </w:r>
    </w:p>
    <w:p w:rsidR="000D195D" w:rsidRPr="00BA6EC0" w:rsidRDefault="000D195D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:rsidR="0085286C" w:rsidRPr="00BA6EC0" w:rsidRDefault="0085286C" w:rsidP="00C9442A">
      <w:pPr>
        <w:tabs>
          <w:tab w:val="left" w:pos="6120"/>
        </w:tabs>
        <w:adjustRightInd w:val="0"/>
        <w:spacing w:beforeLines="50" w:before="180" w:line="360" w:lineRule="atLeast"/>
        <w:ind w:left="4678" w:rightChars="-83" w:right="-199" w:hanging="851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24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乙方：</w:t>
      </w:r>
      <w:r w:rsidR="007721E7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</w:t>
      </w:r>
      <w:r w:rsidR="00213AD3"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醫院</w:t>
      </w:r>
    </w:p>
    <w:p w:rsidR="0085286C" w:rsidRPr="00BA6EC0" w:rsidRDefault="0085286C" w:rsidP="009211E8">
      <w:pPr>
        <w:tabs>
          <w:tab w:val="left" w:pos="6120"/>
        </w:tabs>
        <w:adjustRightInd w:val="0"/>
        <w:spacing w:line="360" w:lineRule="atLeast"/>
        <w:ind w:left="4678" w:rightChars="-201" w:right="-482" w:hanging="850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地址：</w:t>
      </w:r>
    </w:p>
    <w:p w:rsidR="0085286C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院長：</w:t>
      </w:r>
    </w:p>
    <w:p w:rsidR="00C97D44" w:rsidRDefault="00C97D44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</w:p>
    <w:p w:rsidR="00C97D44" w:rsidRDefault="00C97D44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</w:p>
    <w:p w:rsidR="00F81BDE" w:rsidRPr="00BA6EC0" w:rsidRDefault="00F81BDE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 w:hint="eastAsia"/>
          <w:spacing w:val="20"/>
          <w:kern w:val="0"/>
          <w:szCs w:val="20"/>
        </w:rPr>
      </w:pPr>
    </w:p>
    <w:p w:rsidR="00EC11D6" w:rsidRPr="00BA6EC0" w:rsidRDefault="0085286C" w:rsidP="00C9442A">
      <w:pPr>
        <w:spacing w:beforeLines="80" w:before="288"/>
        <w:jc w:val="distribute"/>
        <w:rPr>
          <w:rFonts w:ascii="Times New Roman" w:eastAsia="標楷體" w:hAnsi="Times New Roman" w:cs="Times New Roman"/>
        </w:rPr>
      </w:pPr>
      <w:r w:rsidRPr="00BA6EC0">
        <w:rPr>
          <w:rFonts w:ascii="Times New Roman" w:eastAsia="標楷體" w:hAnsi="Times New Roman" w:cs="Times New Roman"/>
          <w:kern w:val="0"/>
          <w:szCs w:val="20"/>
        </w:rPr>
        <w:t>中華民國</w:t>
      </w:r>
      <w:r w:rsidR="00E0181B" w:rsidRPr="00BA6EC0">
        <w:rPr>
          <w:rFonts w:ascii="標楷體" w:eastAsia="標楷體" w:hAnsi="標楷體" w:cs="Times New Roman" w:hint="eastAsia"/>
          <w:kern w:val="0"/>
          <w:szCs w:val="20"/>
        </w:rPr>
        <w:t>○○○</w:t>
      </w:r>
      <w:r w:rsidRPr="00BA6EC0">
        <w:rPr>
          <w:rFonts w:ascii="Times New Roman" w:eastAsia="標楷體" w:hAnsi="Times New Roman" w:cs="Times New Roman"/>
          <w:kern w:val="0"/>
          <w:szCs w:val="20"/>
        </w:rPr>
        <w:t>年</w:t>
      </w:r>
      <w:r w:rsidR="00526721" w:rsidRPr="00BA6EC0">
        <w:rPr>
          <w:rFonts w:ascii="標楷體" w:eastAsia="標楷體" w:hAnsi="標楷體" w:cs="Times New Roman" w:hint="eastAsia"/>
          <w:kern w:val="0"/>
          <w:szCs w:val="20"/>
        </w:rPr>
        <w:t>○</w:t>
      </w:r>
      <w:r w:rsidRPr="00BA6EC0">
        <w:rPr>
          <w:rFonts w:ascii="Times New Roman" w:eastAsia="標楷體" w:hAnsi="Times New Roman" w:cs="Times New Roman"/>
          <w:kern w:val="0"/>
          <w:szCs w:val="20"/>
        </w:rPr>
        <w:t>月</w:t>
      </w:r>
      <w:r w:rsidR="00526721" w:rsidRPr="00BA6EC0">
        <w:rPr>
          <w:rFonts w:ascii="標楷體" w:eastAsia="標楷體" w:hAnsi="標楷體" w:cs="Times New Roman" w:hint="eastAsia"/>
          <w:kern w:val="0"/>
          <w:szCs w:val="20"/>
        </w:rPr>
        <w:t>○</w:t>
      </w:r>
      <w:r w:rsidRPr="00BA6EC0">
        <w:rPr>
          <w:rFonts w:ascii="Times New Roman" w:eastAsia="標楷體" w:hAnsi="Times New Roman" w:cs="Times New Roman"/>
          <w:kern w:val="0"/>
          <w:szCs w:val="20"/>
        </w:rPr>
        <w:t>日</w:t>
      </w:r>
    </w:p>
    <w:sectPr w:rsidR="00EC11D6" w:rsidRPr="00BA6EC0" w:rsidSect="00A10EC9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4E" w:rsidRDefault="00CD264E" w:rsidP="00D2155A">
      <w:r>
        <w:separator/>
      </w:r>
    </w:p>
  </w:endnote>
  <w:endnote w:type="continuationSeparator" w:id="0">
    <w:p w:rsidR="00CD264E" w:rsidRDefault="00CD264E" w:rsidP="00D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4E" w:rsidRDefault="00CD264E" w:rsidP="00D2155A">
      <w:r>
        <w:separator/>
      </w:r>
    </w:p>
  </w:footnote>
  <w:footnote w:type="continuationSeparator" w:id="0">
    <w:p w:rsidR="00CD264E" w:rsidRDefault="00CD264E" w:rsidP="00D2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B5B"/>
    <w:multiLevelType w:val="hybridMultilevel"/>
    <w:tmpl w:val="41FA7720"/>
    <w:lvl w:ilvl="0" w:tplc="AAACFB3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848A1640">
      <w:start w:val="3"/>
      <w:numFmt w:val="ideographLegalTraditional"/>
      <w:lvlText w:val="%3、"/>
      <w:lvlJc w:val="left"/>
      <w:pPr>
        <w:ind w:left="210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C"/>
    <w:rsid w:val="000347C3"/>
    <w:rsid w:val="00040783"/>
    <w:rsid w:val="00043F49"/>
    <w:rsid w:val="000711F0"/>
    <w:rsid w:val="00084063"/>
    <w:rsid w:val="000D195D"/>
    <w:rsid w:val="000D4B59"/>
    <w:rsid w:val="000D7535"/>
    <w:rsid w:val="000F5F90"/>
    <w:rsid w:val="00132BB0"/>
    <w:rsid w:val="001348F5"/>
    <w:rsid w:val="00147E15"/>
    <w:rsid w:val="001546BE"/>
    <w:rsid w:val="00175B71"/>
    <w:rsid w:val="00183511"/>
    <w:rsid w:val="001A4558"/>
    <w:rsid w:val="001A4C08"/>
    <w:rsid w:val="001E72BE"/>
    <w:rsid w:val="001F37E2"/>
    <w:rsid w:val="00213AD3"/>
    <w:rsid w:val="00233AE3"/>
    <w:rsid w:val="002C662C"/>
    <w:rsid w:val="002E7F51"/>
    <w:rsid w:val="00301969"/>
    <w:rsid w:val="003239F0"/>
    <w:rsid w:val="00327938"/>
    <w:rsid w:val="00371BFA"/>
    <w:rsid w:val="003734B7"/>
    <w:rsid w:val="0038066F"/>
    <w:rsid w:val="003873E6"/>
    <w:rsid w:val="0039627E"/>
    <w:rsid w:val="003A6B17"/>
    <w:rsid w:val="003A6FDD"/>
    <w:rsid w:val="003B6A0A"/>
    <w:rsid w:val="003E2871"/>
    <w:rsid w:val="004032D3"/>
    <w:rsid w:val="00432153"/>
    <w:rsid w:val="0046365E"/>
    <w:rsid w:val="004732B2"/>
    <w:rsid w:val="00475931"/>
    <w:rsid w:val="00477F90"/>
    <w:rsid w:val="00482403"/>
    <w:rsid w:val="00490CBE"/>
    <w:rsid w:val="004B68B1"/>
    <w:rsid w:val="004C2871"/>
    <w:rsid w:val="004C5B68"/>
    <w:rsid w:val="004C75DF"/>
    <w:rsid w:val="004D233A"/>
    <w:rsid w:val="004E6AEB"/>
    <w:rsid w:val="005001A3"/>
    <w:rsid w:val="00526721"/>
    <w:rsid w:val="00531653"/>
    <w:rsid w:val="005410CF"/>
    <w:rsid w:val="0056499B"/>
    <w:rsid w:val="00564DFA"/>
    <w:rsid w:val="0058158C"/>
    <w:rsid w:val="00594DBC"/>
    <w:rsid w:val="005A5C61"/>
    <w:rsid w:val="005C506A"/>
    <w:rsid w:val="00616F5B"/>
    <w:rsid w:val="00626252"/>
    <w:rsid w:val="00667E44"/>
    <w:rsid w:val="0067200A"/>
    <w:rsid w:val="0067246A"/>
    <w:rsid w:val="0068389F"/>
    <w:rsid w:val="006B277E"/>
    <w:rsid w:val="006B4C6A"/>
    <w:rsid w:val="006C7C75"/>
    <w:rsid w:val="006F1E86"/>
    <w:rsid w:val="00713299"/>
    <w:rsid w:val="0072259D"/>
    <w:rsid w:val="00730A41"/>
    <w:rsid w:val="00733E98"/>
    <w:rsid w:val="0073572A"/>
    <w:rsid w:val="007613CC"/>
    <w:rsid w:val="007721E7"/>
    <w:rsid w:val="00772E65"/>
    <w:rsid w:val="00783C39"/>
    <w:rsid w:val="007936F9"/>
    <w:rsid w:val="007A4618"/>
    <w:rsid w:val="007B04DD"/>
    <w:rsid w:val="007C25C9"/>
    <w:rsid w:val="007F4DD8"/>
    <w:rsid w:val="00813172"/>
    <w:rsid w:val="00816852"/>
    <w:rsid w:val="00821F3C"/>
    <w:rsid w:val="00831E9C"/>
    <w:rsid w:val="0085286C"/>
    <w:rsid w:val="00877122"/>
    <w:rsid w:val="00881620"/>
    <w:rsid w:val="00886074"/>
    <w:rsid w:val="00892830"/>
    <w:rsid w:val="008F7F1F"/>
    <w:rsid w:val="00915E23"/>
    <w:rsid w:val="009211E8"/>
    <w:rsid w:val="00922504"/>
    <w:rsid w:val="0093036A"/>
    <w:rsid w:val="00954BD0"/>
    <w:rsid w:val="00965C27"/>
    <w:rsid w:val="00987BB5"/>
    <w:rsid w:val="009A42D5"/>
    <w:rsid w:val="009A549B"/>
    <w:rsid w:val="009B09DF"/>
    <w:rsid w:val="009D18AD"/>
    <w:rsid w:val="009F277A"/>
    <w:rsid w:val="00A024BE"/>
    <w:rsid w:val="00A10EC9"/>
    <w:rsid w:val="00A347AF"/>
    <w:rsid w:val="00AE068B"/>
    <w:rsid w:val="00AF51D9"/>
    <w:rsid w:val="00B07598"/>
    <w:rsid w:val="00B076A8"/>
    <w:rsid w:val="00B17E82"/>
    <w:rsid w:val="00B22C4F"/>
    <w:rsid w:val="00B2768B"/>
    <w:rsid w:val="00B30C6E"/>
    <w:rsid w:val="00B51904"/>
    <w:rsid w:val="00B904D9"/>
    <w:rsid w:val="00B93D8F"/>
    <w:rsid w:val="00BA6EC0"/>
    <w:rsid w:val="00BC388B"/>
    <w:rsid w:val="00BC4E6C"/>
    <w:rsid w:val="00BD6DEB"/>
    <w:rsid w:val="00BE4EE9"/>
    <w:rsid w:val="00C02E2B"/>
    <w:rsid w:val="00C0329A"/>
    <w:rsid w:val="00C0421E"/>
    <w:rsid w:val="00C22466"/>
    <w:rsid w:val="00C413B0"/>
    <w:rsid w:val="00C41462"/>
    <w:rsid w:val="00C44F18"/>
    <w:rsid w:val="00C9442A"/>
    <w:rsid w:val="00C97D44"/>
    <w:rsid w:val="00CA65BC"/>
    <w:rsid w:val="00CB2944"/>
    <w:rsid w:val="00CD264E"/>
    <w:rsid w:val="00CF4578"/>
    <w:rsid w:val="00D00E1C"/>
    <w:rsid w:val="00D06131"/>
    <w:rsid w:val="00D2155A"/>
    <w:rsid w:val="00D35312"/>
    <w:rsid w:val="00D3559C"/>
    <w:rsid w:val="00D80C3D"/>
    <w:rsid w:val="00D818CA"/>
    <w:rsid w:val="00D830B8"/>
    <w:rsid w:val="00DD4281"/>
    <w:rsid w:val="00E007AA"/>
    <w:rsid w:val="00E0181B"/>
    <w:rsid w:val="00E210B4"/>
    <w:rsid w:val="00E47B3F"/>
    <w:rsid w:val="00E52DD5"/>
    <w:rsid w:val="00E809B9"/>
    <w:rsid w:val="00E8714E"/>
    <w:rsid w:val="00E975E0"/>
    <w:rsid w:val="00EA23DE"/>
    <w:rsid w:val="00EA2FB8"/>
    <w:rsid w:val="00EA54C1"/>
    <w:rsid w:val="00EB02C6"/>
    <w:rsid w:val="00EB08BF"/>
    <w:rsid w:val="00EB1314"/>
    <w:rsid w:val="00EC11D6"/>
    <w:rsid w:val="00EC6DC2"/>
    <w:rsid w:val="00ED493D"/>
    <w:rsid w:val="00EE7EBA"/>
    <w:rsid w:val="00EF770C"/>
    <w:rsid w:val="00F3132B"/>
    <w:rsid w:val="00F6481D"/>
    <w:rsid w:val="00F664BB"/>
    <w:rsid w:val="00F75BCC"/>
    <w:rsid w:val="00F81BDE"/>
    <w:rsid w:val="00F8359F"/>
    <w:rsid w:val="00FB4E05"/>
    <w:rsid w:val="00FB7433"/>
    <w:rsid w:val="00FC4DD5"/>
    <w:rsid w:val="00FC63F0"/>
    <w:rsid w:val="00FE043F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7102F-2664-4D31-A296-92A4393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6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5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23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3F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AC3B-AB49-4931-BAA5-D61686CB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49</cp:revision>
  <cp:lastPrinted>2021-01-06T03:30:00Z</cp:lastPrinted>
  <dcterms:created xsi:type="dcterms:W3CDTF">2024-02-21T09:53:00Z</dcterms:created>
  <dcterms:modified xsi:type="dcterms:W3CDTF">2024-02-21T10:00:00Z</dcterms:modified>
</cp:coreProperties>
</file>