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10" w:rsidRDefault="00CA181D">
      <w:pPr>
        <w:spacing w:before="21"/>
        <w:ind w:left="105"/>
        <w:rPr>
          <w:rFonts w:ascii="微軟正黑體" w:eastAsia="微軟正黑體"/>
          <w:b/>
          <w:sz w:val="23"/>
          <w:lang w:eastAsia="zh-TW"/>
        </w:rPr>
      </w:pPr>
      <w:r>
        <w:rPr>
          <w:rFonts w:ascii="微軟正黑體" w:eastAsia="微軟正黑體" w:hint="eastAsia"/>
          <w:b/>
          <w:color w:val="0757B9"/>
          <w:sz w:val="23"/>
          <w:lang w:eastAsia="zh-TW"/>
        </w:rPr>
        <w:t>免疫球蛋白</w:t>
      </w:r>
    </w:p>
    <w:p w:rsidR="00FF6110" w:rsidRDefault="00FF6110">
      <w:pPr>
        <w:pStyle w:val="BodyText"/>
        <w:spacing w:before="1"/>
        <w:ind w:left="0"/>
        <w:rPr>
          <w:rFonts w:ascii="微軟正黑體"/>
          <w:b/>
          <w:sz w:val="7"/>
          <w:lang w:eastAsia="zh-TW"/>
        </w:rPr>
      </w:pPr>
    </w:p>
    <w:p w:rsidR="00FF6110" w:rsidRDefault="00F45461">
      <w:pPr>
        <w:spacing w:before="94"/>
        <w:ind w:right="1206"/>
        <w:jc w:val="right"/>
        <w:rPr>
          <w:b/>
          <w:sz w:val="18"/>
          <w:lang w:eastAsia="zh-TW"/>
        </w:rPr>
      </w:pPr>
      <w:r>
        <w:rPr>
          <w:b/>
          <w:color w:val="454545"/>
          <w:sz w:val="18"/>
          <w:lang w:eastAsia="zh-TW"/>
        </w:rPr>
        <w:t>2023-03-13</w:t>
      </w:r>
      <w:bookmarkStart w:id="0" w:name="_GoBack"/>
      <w:bookmarkEnd w:id="0"/>
    </w:p>
    <w:p w:rsidR="00FF6110" w:rsidRDefault="00FF6110" w:rsidP="00CA181D">
      <w:pPr>
        <w:tabs>
          <w:tab w:val="left" w:pos="2544"/>
          <w:tab w:val="left" w:pos="4668"/>
        </w:tabs>
        <w:spacing w:before="103"/>
        <w:ind w:right="1416"/>
        <w:jc w:val="right"/>
        <w:rPr>
          <w:rFonts w:ascii="微軟正黑體" w:eastAsia="微軟正黑體"/>
          <w:b/>
          <w:sz w:val="21"/>
          <w:lang w:eastAsia="zh-TW"/>
        </w:rPr>
      </w:pPr>
    </w:p>
    <w:p w:rsidR="00FF6110" w:rsidRDefault="00FF6110">
      <w:pPr>
        <w:pStyle w:val="BodyText"/>
        <w:spacing w:before="2"/>
        <w:ind w:left="0"/>
        <w:rPr>
          <w:rFonts w:ascii="微軟正黑體"/>
          <w:b/>
          <w:sz w:val="26"/>
          <w:lang w:eastAsia="zh-TW"/>
        </w:rPr>
      </w:pPr>
    </w:p>
    <w:p w:rsidR="00FF6110" w:rsidRDefault="00CA181D">
      <w:pPr>
        <w:pStyle w:val="Heading1"/>
        <w:rPr>
          <w:lang w:eastAsia="zh-TW"/>
        </w:rPr>
      </w:pPr>
      <w:r>
        <w:rPr>
          <w:lang w:eastAsia="zh-TW"/>
        </w:rPr>
        <w:t>簡介</w:t>
      </w:r>
    </w:p>
    <w:p w:rsidR="00FF6110" w:rsidRDefault="00CA181D">
      <w:pPr>
        <w:pStyle w:val="BodyText"/>
        <w:spacing w:before="75" w:line="177" w:lineRule="auto"/>
        <w:ind w:right="1237"/>
        <w:jc w:val="both"/>
        <w:rPr>
          <w:rFonts w:ascii="微軟正黑體" w:eastAsia="微軟正黑體"/>
          <w:lang w:eastAsia="zh-TW"/>
        </w:rPr>
      </w:pPr>
      <w:r>
        <w:rPr>
          <w:lang w:eastAsia="zh-TW"/>
        </w:rPr>
        <w:t>IVIG</w:t>
      </w:r>
      <w:r>
        <w:rPr>
          <w:rFonts w:ascii="微軟正黑體" w:eastAsia="微軟正黑體" w:hint="eastAsia"/>
          <w:lang w:eastAsia="zh-TW"/>
        </w:rPr>
        <w:t>全名為靜脈注射免疫球蛋白</w:t>
      </w:r>
      <w:r>
        <w:rPr>
          <w:lang w:eastAsia="zh-TW"/>
        </w:rPr>
        <w:t>(Intravenous immunoglobulin)</w:t>
      </w:r>
      <w:r>
        <w:rPr>
          <w:rFonts w:ascii="微軟正黑體" w:eastAsia="微軟正黑體" w:hint="eastAsia"/>
          <w:lang w:eastAsia="zh-TW"/>
        </w:rPr>
        <w:t>，一般簡稱為「免疫球蛋白」，免疫球蛋白主要用於治療免疫相關的疾病，如先天或後天性免疫球蛋白低下症、免疫血小板缺乏性紫斑症、川崎病等。免疫球蛋白治療機轉不明，目前公認之作用機轉包括</w:t>
      </w:r>
      <w:r>
        <w:rPr>
          <w:lang w:eastAsia="zh-TW"/>
        </w:rPr>
        <w:t>:</w:t>
      </w:r>
      <w:r>
        <w:rPr>
          <w:rFonts w:ascii="微軟正黑體" w:eastAsia="微軟正黑體" w:hint="eastAsia"/>
          <w:lang w:eastAsia="zh-TW"/>
        </w:rPr>
        <w:t>可中和病態性的自體抗體、作用於巨噬細胞</w:t>
      </w:r>
      <w:r>
        <w:rPr>
          <w:lang w:eastAsia="zh-TW"/>
        </w:rPr>
        <w:t>Fc receptor</w:t>
      </w:r>
      <w:r>
        <w:rPr>
          <w:rFonts w:ascii="微軟正黑體" w:eastAsia="微軟正黑體" w:hint="eastAsia"/>
          <w:lang w:eastAsia="zh-TW"/>
        </w:rPr>
        <w:t>上，阻斷自體抗體跟巨噬細胞結合，減少巨噬細胞的毒性作用、抑制發炎物質釋放。</w:t>
      </w:r>
    </w:p>
    <w:p w:rsidR="00FF6110" w:rsidRDefault="00FF6110">
      <w:pPr>
        <w:pStyle w:val="BodyText"/>
        <w:spacing w:before="8"/>
        <w:ind w:left="0"/>
        <w:rPr>
          <w:rFonts w:ascii="微軟正黑體"/>
          <w:sz w:val="27"/>
          <w:lang w:eastAsia="zh-TW"/>
        </w:rPr>
      </w:pPr>
    </w:p>
    <w:p w:rsidR="00FF6110" w:rsidRDefault="00CA181D">
      <w:pPr>
        <w:pStyle w:val="Heading1"/>
        <w:spacing w:before="1" w:line="656" w:lineRule="exact"/>
        <w:rPr>
          <w:lang w:eastAsia="zh-TW"/>
        </w:rPr>
      </w:pPr>
      <w:r>
        <w:rPr>
          <w:lang w:eastAsia="zh-TW"/>
        </w:rPr>
        <w:t>對神經性發炎性疾病之療效</w:t>
      </w:r>
    </w:p>
    <w:p w:rsidR="002F1FA8" w:rsidRDefault="002F1FA8" w:rsidP="002F1FA8">
      <w:pPr>
        <w:pStyle w:val="BodyText"/>
        <w:spacing w:before="66" w:line="177" w:lineRule="auto"/>
        <w:ind w:right="1261"/>
        <w:rPr>
          <w:rFonts w:ascii="微軟正黑體" w:eastAsia="微軟正黑體"/>
        </w:rPr>
      </w:pPr>
      <w:proofErr w:type="spellStart"/>
      <w:r>
        <w:rPr>
          <w:rFonts w:ascii="微軟正黑體" w:eastAsia="微軟正黑體" w:hint="eastAsia"/>
        </w:rPr>
        <w:t>免疫球蛋白對於多種神經性發炎疾病有效，研究證據比較齊全的適應症包括</w:t>
      </w:r>
      <w:proofErr w:type="spellEnd"/>
      <w:r>
        <w:t>:</w:t>
      </w:r>
      <w:r>
        <w:br/>
        <w:t xml:space="preserve"> (</w:t>
      </w:r>
      <w:r>
        <w:rPr>
          <w:rFonts w:ascii="微軟正黑體" w:eastAsia="微軟正黑體" w:hint="eastAsia"/>
        </w:rPr>
        <w:t>一</w:t>
      </w:r>
      <w:proofErr w:type="gramStart"/>
      <w:r>
        <w:t>)</w:t>
      </w:r>
      <w:proofErr w:type="spellStart"/>
      <w:r>
        <w:rPr>
          <w:rFonts w:ascii="微軟正黑體" w:eastAsia="微軟正黑體" w:hint="eastAsia"/>
        </w:rPr>
        <w:t>急性去髓鞘性神經炎</w:t>
      </w:r>
      <w:proofErr w:type="spellEnd"/>
      <w:proofErr w:type="gramEnd"/>
      <w:r>
        <w:t xml:space="preserve">(AIDP, acute inflammatory demyelinating polyneuropathy, </w:t>
      </w:r>
      <w:proofErr w:type="spellStart"/>
      <w:r>
        <w:t>Guillian</w:t>
      </w:r>
      <w:proofErr w:type="spellEnd"/>
      <w:r>
        <w:t xml:space="preserve"> Barre- syndrome)</w:t>
      </w:r>
      <w:r>
        <w:rPr>
          <w:rFonts w:ascii="微軟正黑體" w:eastAsia="微軟正黑體" w:hint="eastAsia"/>
        </w:rPr>
        <w:t>，</w:t>
      </w:r>
      <w:proofErr w:type="spellStart"/>
      <w:r>
        <w:rPr>
          <w:rFonts w:ascii="微軟正黑體" w:eastAsia="微軟正黑體" w:hint="eastAsia"/>
        </w:rPr>
        <w:t>屬證據等級</w:t>
      </w:r>
      <w:r>
        <w:t>Level</w:t>
      </w:r>
      <w:proofErr w:type="spellEnd"/>
      <w:r>
        <w:t xml:space="preserve"> </w:t>
      </w:r>
      <w:proofErr w:type="spellStart"/>
      <w:r>
        <w:t>A</w:t>
      </w:r>
      <w:r>
        <w:rPr>
          <w:rFonts w:ascii="微軟正黑體" w:eastAsia="微軟正黑體" w:hint="eastAsia"/>
        </w:rPr>
        <w:t>的建議</w:t>
      </w:r>
      <w:proofErr w:type="spellEnd"/>
      <w:r>
        <w:rPr>
          <w:rFonts w:ascii="微軟正黑體" w:eastAsia="微軟正黑體" w:hint="eastAsia"/>
        </w:rPr>
        <w:t>；</w:t>
      </w:r>
      <w:r>
        <w:rPr>
          <w:rFonts w:ascii="微軟正黑體" w:eastAsia="微軟正黑體"/>
        </w:rPr>
        <w:br/>
      </w:r>
      <w:r>
        <w:t>(</w:t>
      </w:r>
      <w:r>
        <w:rPr>
          <w:rFonts w:ascii="微軟正黑體" w:eastAsia="微軟正黑體" w:hint="eastAsia"/>
        </w:rPr>
        <w:t>二</w:t>
      </w:r>
      <w:r>
        <w:t xml:space="preserve">) </w:t>
      </w:r>
      <w:proofErr w:type="spellStart"/>
      <w:r>
        <w:rPr>
          <w:rFonts w:ascii="微軟正黑體" w:eastAsia="微軟正黑體" w:hint="eastAsia"/>
        </w:rPr>
        <w:t>慢性去髓鞘性神經炎</w:t>
      </w:r>
      <w:proofErr w:type="spellEnd"/>
      <w:r>
        <w:t>(CIDP, chronic inflammatory demyelinating polyneuropathy)</w:t>
      </w:r>
      <w:proofErr w:type="spellStart"/>
      <w:r>
        <w:rPr>
          <w:rFonts w:ascii="微軟正黑體" w:eastAsia="微軟正黑體" w:hint="eastAsia"/>
        </w:rPr>
        <w:t>之長期治療，屬證據等級</w:t>
      </w:r>
      <w:r>
        <w:t>Level</w:t>
      </w:r>
      <w:proofErr w:type="spellEnd"/>
      <w:r>
        <w:t xml:space="preserve"> </w:t>
      </w:r>
      <w:proofErr w:type="spellStart"/>
      <w:r>
        <w:t>A</w:t>
      </w:r>
      <w:r>
        <w:rPr>
          <w:rFonts w:ascii="微軟正黑體" w:eastAsia="微軟正黑體" w:hint="eastAsia"/>
        </w:rPr>
        <w:t>的建議</w:t>
      </w:r>
      <w:proofErr w:type="spellEnd"/>
      <w:r>
        <w:rPr>
          <w:rFonts w:ascii="微軟正黑體" w:eastAsia="微軟正黑體" w:hint="eastAsia"/>
        </w:rPr>
        <w:t>；</w:t>
      </w:r>
    </w:p>
    <w:p w:rsidR="002F1FA8" w:rsidRDefault="002F1FA8" w:rsidP="002F1FA8">
      <w:pPr>
        <w:pStyle w:val="BodyText"/>
        <w:spacing w:line="177" w:lineRule="auto"/>
        <w:ind w:right="1400"/>
        <w:rPr>
          <w:rFonts w:ascii="微軟正黑體" w:eastAsia="微軟正黑體"/>
        </w:rPr>
      </w:pPr>
      <w:r>
        <w:t>(</w:t>
      </w:r>
      <w:r>
        <w:rPr>
          <w:rFonts w:ascii="微軟正黑體" w:eastAsia="微軟正黑體" w:hint="eastAsia"/>
        </w:rPr>
        <w:t>三</w:t>
      </w:r>
      <w:proofErr w:type="gramStart"/>
      <w:r>
        <w:t>)</w:t>
      </w:r>
      <w:proofErr w:type="spellStart"/>
      <w:r>
        <w:rPr>
          <w:rFonts w:ascii="微軟正黑體" w:eastAsia="微軟正黑體" w:hint="eastAsia"/>
        </w:rPr>
        <w:t>中至重度的重症肌無力</w:t>
      </w:r>
      <w:proofErr w:type="spellEnd"/>
      <w:proofErr w:type="gramEnd"/>
      <w:r>
        <w:t>(Myasthenia gravis, MG)</w:t>
      </w:r>
      <w:r>
        <w:rPr>
          <w:rFonts w:ascii="微軟正黑體" w:eastAsia="微軟正黑體" w:hint="eastAsia"/>
        </w:rPr>
        <w:t>，</w:t>
      </w:r>
      <w:proofErr w:type="spellStart"/>
      <w:r>
        <w:rPr>
          <w:rFonts w:ascii="微軟正黑體" w:eastAsia="微軟正黑體" w:hint="eastAsia"/>
        </w:rPr>
        <w:t>屬證據等級</w:t>
      </w:r>
      <w:r>
        <w:t>Level</w:t>
      </w:r>
      <w:proofErr w:type="spellEnd"/>
      <w:r>
        <w:t xml:space="preserve"> </w:t>
      </w:r>
      <w:proofErr w:type="spellStart"/>
      <w:r>
        <w:t>B</w:t>
      </w:r>
      <w:r>
        <w:rPr>
          <w:rFonts w:ascii="微軟正黑體" w:eastAsia="微軟正黑體" w:hint="eastAsia"/>
        </w:rPr>
        <w:t>的建議</w:t>
      </w:r>
      <w:proofErr w:type="spellEnd"/>
      <w:r>
        <w:rPr>
          <w:rFonts w:ascii="微軟正黑體" w:eastAsia="微軟正黑體" w:hint="eastAsia"/>
        </w:rPr>
        <w:t>；</w:t>
      </w:r>
      <w:r>
        <w:rPr>
          <w:rFonts w:ascii="微軟正黑體" w:eastAsia="微軟正黑體"/>
        </w:rPr>
        <w:br/>
      </w:r>
      <w:r>
        <w:t>(</w:t>
      </w:r>
      <w:r>
        <w:rPr>
          <w:rFonts w:ascii="微軟正黑體" w:eastAsia="微軟正黑體" w:hint="eastAsia"/>
        </w:rPr>
        <w:t>四</w:t>
      </w:r>
      <w:r>
        <w:t xml:space="preserve">) </w:t>
      </w:r>
      <w:proofErr w:type="spellStart"/>
      <w:r>
        <w:rPr>
          <w:rFonts w:ascii="微軟正黑體" w:eastAsia="微軟正黑體" w:hint="eastAsia"/>
        </w:rPr>
        <w:t>多病灶性運動神經病變合併傳導阻滯</w:t>
      </w:r>
      <w:proofErr w:type="spellEnd"/>
      <w:r>
        <w:rPr>
          <w:rFonts w:ascii="微軟正黑體" w:eastAsia="微軟正黑體" w:hint="eastAsia"/>
        </w:rPr>
        <w:t xml:space="preserve"> </w:t>
      </w:r>
      <w:r>
        <w:t>(multifocal motor neuropathy with or without persistent conduction block, MMN)</w:t>
      </w:r>
      <w:r>
        <w:rPr>
          <w:rFonts w:ascii="微軟正黑體" w:eastAsia="微軟正黑體" w:hint="eastAsia"/>
        </w:rPr>
        <w:t>，</w:t>
      </w:r>
      <w:proofErr w:type="spellStart"/>
      <w:r>
        <w:rPr>
          <w:rFonts w:ascii="微軟正黑體" w:eastAsia="微軟正黑體" w:hint="eastAsia"/>
        </w:rPr>
        <w:t>屬證據等級</w:t>
      </w:r>
      <w:r>
        <w:t>Level</w:t>
      </w:r>
      <w:proofErr w:type="spellEnd"/>
      <w:r>
        <w:t xml:space="preserve"> </w:t>
      </w:r>
      <w:proofErr w:type="spellStart"/>
      <w:r>
        <w:t>B</w:t>
      </w:r>
      <w:r>
        <w:rPr>
          <w:rFonts w:ascii="微軟正黑體" w:eastAsia="微軟正黑體" w:hint="eastAsia"/>
        </w:rPr>
        <w:t>的建議</w:t>
      </w:r>
      <w:proofErr w:type="spellEnd"/>
      <w:r>
        <w:rPr>
          <w:rFonts w:ascii="微軟正黑體" w:eastAsia="微軟正黑體" w:hint="eastAsia"/>
        </w:rPr>
        <w:t>。</w:t>
      </w:r>
    </w:p>
    <w:p w:rsidR="002F1FA8" w:rsidRDefault="002F1FA8">
      <w:pPr>
        <w:pStyle w:val="BodyText"/>
        <w:spacing w:before="147" w:line="177" w:lineRule="auto"/>
        <w:ind w:right="1308"/>
        <w:rPr>
          <w:rFonts w:ascii="微軟正黑體" w:eastAsia="微軟正黑體"/>
        </w:rPr>
      </w:pPr>
      <w:proofErr w:type="spellStart"/>
      <w:r>
        <w:rPr>
          <w:rFonts w:ascii="微軟正黑體" w:eastAsia="微軟正黑體" w:hint="eastAsia"/>
        </w:rPr>
        <w:t>免疫球蛋白可能有效的適應症包括</w:t>
      </w:r>
      <w:proofErr w:type="spellEnd"/>
      <w:r>
        <w:t xml:space="preserve">: </w:t>
      </w:r>
      <w:r>
        <w:br/>
        <w:t>(</w:t>
      </w:r>
      <w:r>
        <w:rPr>
          <w:rFonts w:ascii="微軟正黑體" w:eastAsia="微軟正黑體" w:hint="eastAsia"/>
        </w:rPr>
        <w:t>一</w:t>
      </w:r>
      <w:proofErr w:type="gramStart"/>
      <w:r>
        <w:t>)</w:t>
      </w:r>
      <w:proofErr w:type="spellStart"/>
      <w:r>
        <w:rPr>
          <w:rFonts w:ascii="微軟正黑體" w:eastAsia="微軟正黑體" w:hint="eastAsia"/>
        </w:rPr>
        <w:t>對其他治療無反應之皮肌炎</w:t>
      </w:r>
      <w:proofErr w:type="spellEnd"/>
      <w:proofErr w:type="gramEnd"/>
      <w:r>
        <w:t>(Dermatomyositis)</w:t>
      </w:r>
      <w:r>
        <w:rPr>
          <w:rFonts w:ascii="微軟正黑體" w:eastAsia="微軟正黑體" w:hint="eastAsia"/>
        </w:rPr>
        <w:t>及</w:t>
      </w:r>
      <w:r>
        <w:t>(</w:t>
      </w:r>
      <w:r>
        <w:rPr>
          <w:rFonts w:ascii="微軟正黑體" w:eastAsia="微軟正黑體" w:hint="eastAsia"/>
        </w:rPr>
        <w:t>二</w:t>
      </w:r>
      <w:r>
        <w:t>)</w:t>
      </w:r>
      <w:proofErr w:type="spellStart"/>
      <w:r>
        <w:rPr>
          <w:rFonts w:ascii="微軟正黑體" w:eastAsia="微軟正黑體" w:hint="eastAsia"/>
        </w:rPr>
        <w:t>藍伯</w:t>
      </w:r>
      <w:r>
        <w:t>-</w:t>
      </w:r>
      <w:r>
        <w:rPr>
          <w:rFonts w:ascii="微軟正黑體" w:eastAsia="微軟正黑體" w:hint="eastAsia"/>
        </w:rPr>
        <w:t>伊頓肌無力症</w:t>
      </w:r>
      <w:proofErr w:type="spellEnd"/>
      <w:r>
        <w:t xml:space="preserve">(Lambert-Eaton </w:t>
      </w:r>
      <w:proofErr w:type="spellStart"/>
      <w:r>
        <w:t>myasthenic</w:t>
      </w:r>
      <w:proofErr w:type="spellEnd"/>
      <w:r>
        <w:t xml:space="preserve"> syndrome, LEMS)</w:t>
      </w:r>
      <w:r>
        <w:rPr>
          <w:rFonts w:ascii="微軟正黑體" w:eastAsia="微軟正黑體" w:hint="eastAsia"/>
        </w:rPr>
        <w:t>，</w:t>
      </w:r>
      <w:proofErr w:type="spellStart"/>
      <w:r>
        <w:rPr>
          <w:rFonts w:ascii="微軟正黑體" w:eastAsia="微軟正黑體" w:hint="eastAsia"/>
        </w:rPr>
        <w:t>此兩項疾病屬證據等級</w:t>
      </w:r>
      <w:r>
        <w:t>Level</w:t>
      </w:r>
      <w:proofErr w:type="spellEnd"/>
      <w:r>
        <w:t xml:space="preserve"> </w:t>
      </w:r>
      <w:proofErr w:type="spellStart"/>
      <w:r>
        <w:t>C</w:t>
      </w:r>
      <w:r>
        <w:rPr>
          <w:rFonts w:ascii="微軟正黑體" w:eastAsia="微軟正黑體" w:hint="eastAsia"/>
        </w:rPr>
        <w:t>的建議，是其他治療均宣告無效時，才考慮免疫球蛋白做為第二線的藥物選項</w:t>
      </w:r>
      <w:proofErr w:type="spellEnd"/>
      <w:r>
        <w:rPr>
          <w:rFonts w:ascii="微軟正黑體" w:eastAsia="微軟正黑體" w:hint="eastAsia"/>
        </w:rPr>
        <w:t>。</w:t>
      </w:r>
    </w:p>
    <w:p w:rsidR="002F1FA8" w:rsidRDefault="002F1FA8">
      <w:pPr>
        <w:pStyle w:val="BodyText"/>
        <w:spacing w:before="147" w:line="177" w:lineRule="auto"/>
        <w:ind w:right="1308"/>
        <w:rPr>
          <w:rFonts w:ascii="微軟正黑體" w:eastAsia="微軟正黑體"/>
          <w:lang w:eastAsia="zh-TW"/>
        </w:rPr>
      </w:pPr>
      <w:r>
        <w:rPr>
          <w:rFonts w:ascii="微軟正黑體" w:eastAsia="微軟正黑體" w:hint="eastAsia"/>
          <w:lang w:eastAsia="zh-TW"/>
        </w:rPr>
        <w:t>目前健保署對於成人神經科免疫球蛋白的給付條件主要為</w:t>
      </w:r>
      <w:r>
        <w:rPr>
          <w:rFonts w:ascii="微軟正黑體" w:eastAsia="微軟正黑體" w:hAnsi="微軟正黑體" w:cs="微軟正黑體" w:hint="eastAsia"/>
          <w:lang w:eastAsia="zh-TW"/>
        </w:rPr>
        <w:t xml:space="preserve">: </w:t>
      </w:r>
      <w:r>
        <w:rPr>
          <w:lang w:eastAsia="zh-TW"/>
        </w:rPr>
        <w:t>(</w:t>
      </w:r>
      <w:r>
        <w:rPr>
          <w:rFonts w:ascii="微軟正黑體" w:eastAsia="微軟正黑體" w:hint="eastAsia"/>
          <w:lang w:eastAsia="zh-TW"/>
        </w:rPr>
        <w:t>一</w:t>
      </w:r>
      <w:r>
        <w:rPr>
          <w:lang w:eastAsia="zh-TW"/>
        </w:rPr>
        <w:t>)</w:t>
      </w:r>
      <w:r>
        <w:rPr>
          <w:rFonts w:ascii="微軟正黑體" w:eastAsia="微軟正黑體" w:hAnsi="微軟正黑體" w:cs="微軟正黑體" w:hint="eastAsia"/>
          <w:lang w:eastAsia="zh-TW"/>
        </w:rPr>
        <w:t>病況嚴重瀕臨呼吸衰竭的急性去髓鞘神經炎，</w:t>
      </w:r>
      <w:r>
        <w:rPr>
          <w:lang w:eastAsia="zh-TW"/>
        </w:rPr>
        <w:t>(</w:t>
      </w:r>
      <w:r>
        <w:rPr>
          <w:rFonts w:ascii="微軟正黑體" w:eastAsia="微軟正黑體" w:hint="eastAsia"/>
          <w:lang w:eastAsia="zh-TW"/>
        </w:rPr>
        <w:t>二</w:t>
      </w:r>
      <w:r>
        <w:rPr>
          <w:lang w:eastAsia="zh-TW"/>
        </w:rPr>
        <w:t>)</w:t>
      </w:r>
      <w:r>
        <w:rPr>
          <w:rFonts w:ascii="微軟正黑體" w:eastAsia="微軟正黑體" w:hAnsi="微軟正黑體" w:cs="微軟正黑體" w:hint="eastAsia"/>
          <w:lang w:eastAsia="zh-TW"/>
        </w:rPr>
        <w:t>慢性去髓鞘性神經炎對類固醇治療無效或無法耐受類固醇，臨床上發生急性惡化時經過事前申請核准後使用。</w:t>
      </w:r>
    </w:p>
    <w:p w:rsidR="00FF6110" w:rsidRDefault="00CA181D">
      <w:pPr>
        <w:pStyle w:val="BodyText"/>
        <w:spacing w:before="147" w:line="177" w:lineRule="auto"/>
        <w:ind w:right="1308"/>
        <w:rPr>
          <w:rFonts w:ascii="微軟正黑體" w:eastAsia="微軟正黑體"/>
          <w:lang w:eastAsia="zh-TW"/>
        </w:rPr>
      </w:pPr>
      <w:r>
        <w:rPr>
          <w:rFonts w:ascii="微軟正黑體" w:eastAsia="微軟正黑體" w:hint="eastAsia"/>
          <w:lang w:eastAsia="zh-TW"/>
        </w:rPr>
        <w:t xml:space="preserve">以急性去髓鞘性神經炎與重症肌無力來說，免疫球蛋白的治療效果跟血漿置換術一樣 </w:t>
      </w:r>
      <w:r>
        <w:rPr>
          <w:rFonts w:ascii="微軟正黑體" w:eastAsia="微軟正黑體" w:hint="eastAsia"/>
          <w:spacing w:val="-1"/>
          <w:lang w:eastAsia="zh-TW"/>
        </w:rPr>
        <w:t>好，因此是第一線的治療藥物，此時考量使用免疫球蛋白或血漿置換術癥結點在於健保</w:t>
      </w:r>
      <w:r w:rsidR="002F1FA8">
        <w:rPr>
          <w:rFonts w:ascii="微軟正黑體" w:eastAsia="微軟正黑體" w:hint="eastAsia"/>
          <w:spacing w:val="-1"/>
          <w:lang w:eastAsia="zh-TW"/>
        </w:rPr>
        <w:t>除了上述給付條件之病症之外，</w:t>
      </w:r>
      <w:r>
        <w:rPr>
          <w:rFonts w:ascii="微軟正黑體" w:eastAsia="微軟正黑體" w:hint="eastAsia"/>
          <w:lang w:eastAsia="zh-TW"/>
        </w:rPr>
        <w:t>不給付免疫球蛋白，需自費購買使用，免疫球蛋白價格昂貴，以</w:t>
      </w:r>
      <w:r>
        <w:rPr>
          <w:lang w:eastAsia="zh-TW"/>
        </w:rPr>
        <w:t xml:space="preserve">50 </w:t>
      </w:r>
      <w:r>
        <w:rPr>
          <w:rFonts w:ascii="微軟正黑體" w:eastAsia="微軟正黑體" w:hint="eastAsia"/>
          <w:lang w:eastAsia="zh-TW"/>
        </w:rPr>
        <w:t>公斤成年人注射</w:t>
      </w:r>
      <w:r>
        <w:rPr>
          <w:lang w:eastAsia="zh-TW"/>
        </w:rPr>
        <w:t xml:space="preserve">0.4 g/Kg/day x 5 days = 2g/kg/day= 100g </w:t>
      </w:r>
      <w:r>
        <w:rPr>
          <w:rFonts w:ascii="微軟正黑體" w:eastAsia="微軟正黑體" w:hint="eastAsia"/>
          <w:lang w:eastAsia="zh-TW"/>
        </w:rPr>
        <w:t>計算，需花費二十五萬至三十萬元不等。健保有</w:t>
      </w:r>
      <w:r>
        <w:rPr>
          <w:rFonts w:ascii="微軟正黑體" w:eastAsia="微軟正黑體" w:hint="eastAsia"/>
          <w:spacing w:val="-1"/>
          <w:lang w:eastAsia="zh-TW"/>
        </w:rPr>
        <w:t>給付血漿置換術，經濟負擔較輕，但須置入雙槍導管才可進行血漿置換，且置換過程中可能會有低血壓、過敏、感染等風險，建議與醫師充分討論兩種治療之利弊得失、副作</w:t>
      </w:r>
      <w:r>
        <w:rPr>
          <w:rFonts w:ascii="微軟正黑體" w:eastAsia="微軟正黑體" w:hint="eastAsia"/>
          <w:lang w:eastAsia="zh-TW"/>
        </w:rPr>
        <w:t>用後，權衡自身經濟能力與個人偏好後再做決策。</w:t>
      </w:r>
    </w:p>
    <w:p w:rsidR="002F1FA8" w:rsidRDefault="002F1FA8" w:rsidP="002F1FA8">
      <w:pPr>
        <w:pStyle w:val="BodyText"/>
        <w:spacing w:before="146" w:line="177" w:lineRule="auto"/>
        <w:ind w:right="1214"/>
        <w:jc w:val="both"/>
        <w:rPr>
          <w:rFonts w:ascii="微軟正黑體" w:eastAsia="微軟正黑體"/>
          <w:lang w:eastAsia="zh-TW"/>
        </w:rPr>
      </w:pPr>
      <w:r>
        <w:rPr>
          <w:rFonts w:ascii="微軟正黑體" w:eastAsia="微軟正黑體" w:hint="eastAsia"/>
          <w:lang w:eastAsia="zh-TW"/>
        </w:rPr>
        <w:t>根據隨機分派對照試驗研究</w:t>
      </w:r>
      <w:r>
        <w:rPr>
          <w:lang w:eastAsia="zh-TW"/>
        </w:rPr>
        <w:t>(Randomized control trail)</w:t>
      </w:r>
      <w:r>
        <w:rPr>
          <w:rFonts w:ascii="微軟正黑體" w:eastAsia="微軟正黑體" w:hint="eastAsia"/>
          <w:lang w:eastAsia="zh-TW"/>
        </w:rPr>
        <w:t>結果看來，以免疫球蛋白長期治療慢性去髓鞘性神經炎</w:t>
      </w:r>
      <w:r>
        <w:rPr>
          <w:lang w:eastAsia="zh-TW"/>
        </w:rPr>
        <w:t>(CIDP)</w:t>
      </w:r>
      <w:r>
        <w:rPr>
          <w:rFonts w:ascii="微軟正黑體" w:eastAsia="微軟正黑體" w:hint="eastAsia"/>
          <w:lang w:eastAsia="zh-TW"/>
        </w:rPr>
        <w:t>比安慰劑顯著有效。目前健保已經有條件給付對類固醇治療效果不佳的CIDP病患，但須事前向健保署提出申請，如獲核准後才可使用。</w:t>
      </w:r>
    </w:p>
    <w:p w:rsidR="002F1FA8" w:rsidRDefault="002F1FA8" w:rsidP="002F1FA8">
      <w:pPr>
        <w:pStyle w:val="BodyText"/>
        <w:spacing w:before="148" w:line="177" w:lineRule="auto"/>
        <w:ind w:right="1238"/>
        <w:rPr>
          <w:rFonts w:ascii="微軟正黑體" w:eastAsia="微軟正黑體"/>
          <w:lang w:eastAsia="zh-TW"/>
        </w:rPr>
        <w:sectPr w:rsidR="002F1FA8">
          <w:type w:val="continuous"/>
          <w:pgSz w:w="11900" w:h="16840"/>
          <w:pgMar w:top="700" w:right="1680" w:bottom="280" w:left="820" w:header="720" w:footer="720" w:gutter="0"/>
          <w:cols w:space="720"/>
        </w:sectPr>
      </w:pPr>
      <w:r>
        <w:rPr>
          <w:rFonts w:ascii="微軟正黑體" w:eastAsia="微軟正黑體" w:hint="eastAsia"/>
          <w:lang w:eastAsia="zh-TW"/>
        </w:rPr>
        <w:t xml:space="preserve">多病灶性運動神經病變合併傳導阻滯 </w:t>
      </w:r>
      <w:r>
        <w:rPr>
          <w:lang w:eastAsia="zh-TW"/>
        </w:rPr>
        <w:t>(MMN)</w:t>
      </w:r>
      <w:r>
        <w:rPr>
          <w:rFonts w:ascii="微軟正黑體" w:eastAsia="微軟正黑體" w:hint="eastAsia"/>
          <w:lang w:eastAsia="zh-TW"/>
        </w:rPr>
        <w:t>臨床上診斷不易</w:t>
      </w:r>
      <w:r>
        <w:rPr>
          <w:rFonts w:ascii="微軟正黑體" w:eastAsia="微軟正黑體" w:hint="eastAsia"/>
          <w:b/>
          <w:lang w:eastAsia="zh-TW"/>
        </w:rPr>
        <w:t>，</w:t>
      </w:r>
      <w:r>
        <w:rPr>
          <w:rFonts w:ascii="微軟正黑體" w:eastAsia="微軟正黑體" w:hint="eastAsia"/>
          <w:lang w:eastAsia="zh-TW"/>
        </w:rPr>
        <w:t>且此病對類固醇或血漿置換術均無明顯療效，治療非常困難。但隨機分派對照試驗研究顯示連續每個月以</w:t>
      </w:r>
      <w:r>
        <w:rPr>
          <w:lang w:eastAsia="zh-TW"/>
        </w:rPr>
        <w:t xml:space="preserve">0.5 g/Kg/day x 5 days </w:t>
      </w:r>
      <w:r>
        <w:rPr>
          <w:rFonts w:ascii="微軟正黑體" w:eastAsia="微軟正黑體" w:hint="eastAsia"/>
          <w:lang w:eastAsia="zh-TW"/>
        </w:rPr>
        <w:t>此一療程注射免疫球蛋白，治療組肌力恢復情形的確明顯優於安慰劑組，只是目前研究數據不夠充分，無法對免疫球蛋白使用的劑量、頻次等治療細節做建議。此類案例較少，如需要使用免疫球蛋白也可以嘗試向健保署提出事前申請，但通過審核機會不高。</w:t>
      </w:r>
    </w:p>
    <w:p w:rsidR="00FF6110" w:rsidRDefault="00CA181D">
      <w:pPr>
        <w:pStyle w:val="Heading1"/>
        <w:spacing w:line="654" w:lineRule="exact"/>
        <w:rPr>
          <w:lang w:eastAsia="zh-TW"/>
        </w:rPr>
      </w:pPr>
      <w:r>
        <w:rPr>
          <w:lang w:eastAsia="zh-TW"/>
        </w:rPr>
        <w:lastRenderedPageBreak/>
        <w:t>風險及費用</w:t>
      </w:r>
    </w:p>
    <w:p w:rsidR="00FF6110" w:rsidRDefault="00CA181D">
      <w:pPr>
        <w:pStyle w:val="BodyText"/>
        <w:spacing w:before="66" w:line="177" w:lineRule="auto"/>
        <w:ind w:right="1261"/>
        <w:rPr>
          <w:rFonts w:ascii="微軟正黑體" w:eastAsia="微軟正黑體"/>
          <w:lang w:eastAsia="zh-TW"/>
        </w:rPr>
      </w:pPr>
      <w:r>
        <w:rPr>
          <w:rFonts w:ascii="微軟正黑體" w:eastAsia="微軟正黑體" w:hint="eastAsia"/>
          <w:lang w:eastAsia="zh-TW"/>
        </w:rPr>
        <w:t>注射免疫球蛋白發生副作用機率很低，被認為是很安全的治療藥物。注射前會先抽血確定病患不是天生缺乏</w:t>
      </w:r>
      <w:r>
        <w:rPr>
          <w:lang w:eastAsia="zh-TW"/>
        </w:rPr>
        <w:t>IgA</w:t>
      </w:r>
      <w:r>
        <w:rPr>
          <w:rFonts w:ascii="微軟正黑體" w:eastAsia="微軟正黑體" w:hint="eastAsia"/>
          <w:lang w:eastAsia="zh-TW"/>
        </w:rPr>
        <w:t>體質即可注射</w:t>
      </w:r>
      <w:r>
        <w:rPr>
          <w:lang w:eastAsia="zh-TW"/>
        </w:rPr>
        <w:t>(</w:t>
      </w:r>
      <w:r>
        <w:rPr>
          <w:rFonts w:ascii="微軟正黑體" w:eastAsia="微軟正黑體" w:hint="eastAsia"/>
          <w:lang w:eastAsia="zh-TW"/>
        </w:rPr>
        <w:t>註</w:t>
      </w:r>
      <w:r>
        <w:rPr>
          <w:lang w:eastAsia="zh-TW"/>
        </w:rPr>
        <w:t>: IgA</w:t>
      </w:r>
      <w:r>
        <w:rPr>
          <w:rFonts w:ascii="微軟正黑體" w:eastAsia="微軟正黑體" w:hint="eastAsia"/>
          <w:lang w:eastAsia="zh-TW"/>
        </w:rPr>
        <w:t>缺乏者不可注射</w:t>
      </w:r>
      <w:r>
        <w:rPr>
          <w:lang w:eastAsia="zh-TW"/>
        </w:rPr>
        <w:t>IVIG</w:t>
      </w:r>
      <w:r>
        <w:rPr>
          <w:rFonts w:ascii="微軟正黑體" w:eastAsia="微軟正黑體" w:hint="eastAsia"/>
          <w:lang w:eastAsia="zh-TW"/>
        </w:rPr>
        <w:t>，為絕對禁忌症</w:t>
      </w:r>
      <w:r>
        <w:rPr>
          <w:lang w:eastAsia="zh-TW"/>
        </w:rPr>
        <w:t>)</w:t>
      </w:r>
      <w:r>
        <w:rPr>
          <w:rFonts w:ascii="微軟正黑體" w:eastAsia="微軟正黑體" w:hint="eastAsia"/>
          <w:lang w:eastAsia="zh-TW"/>
        </w:rPr>
        <w:t>。神經科一般免疫球蛋白的注射劑量為</w:t>
      </w:r>
      <w:r>
        <w:rPr>
          <w:lang w:eastAsia="zh-TW"/>
        </w:rPr>
        <w:t>0.4 g/Kg/day x 5 days</w:t>
      </w:r>
      <w:r>
        <w:rPr>
          <w:rFonts w:ascii="微軟正黑體" w:eastAsia="微軟正黑體" w:hint="eastAsia"/>
          <w:lang w:eastAsia="zh-TW"/>
        </w:rPr>
        <w:t>，依據病患體重計算，連續注射五天。少數患者注射後可能出現胸悶、心慌、噁心、頭痛、面色潮紅、呼吸困難等症狀，常在注射後</w:t>
      </w:r>
      <w:r>
        <w:rPr>
          <w:lang w:eastAsia="zh-TW"/>
        </w:rPr>
        <w:t>1</w:t>
      </w:r>
      <w:r>
        <w:rPr>
          <w:rFonts w:ascii="微軟正黑體" w:eastAsia="微軟正黑體" w:hint="eastAsia"/>
          <w:lang w:eastAsia="zh-TW"/>
        </w:rPr>
        <w:t>小時內發生，可自行消失。免疫球蛋白注射速度過快，可能出現發</w:t>
      </w:r>
    </w:p>
    <w:p w:rsidR="00FF6110" w:rsidRDefault="00CA181D">
      <w:pPr>
        <w:pStyle w:val="BodyText"/>
        <w:spacing w:line="177" w:lineRule="auto"/>
        <w:ind w:right="1308"/>
        <w:jc w:val="both"/>
        <w:rPr>
          <w:rFonts w:ascii="微軟正黑體" w:eastAsia="微軟正黑體"/>
          <w:lang w:eastAsia="zh-TW"/>
        </w:rPr>
      </w:pPr>
      <w:r>
        <w:rPr>
          <w:rFonts w:ascii="微軟正黑體" w:eastAsia="微軟正黑體" w:hint="eastAsia"/>
          <w:lang w:eastAsia="zh-TW"/>
        </w:rPr>
        <w:t>熱、多汗、頭暈、腹痛、血壓升高，因此臨床上多以點滴幫浦緩慢靜脈注射</w:t>
      </w:r>
      <w:r>
        <w:rPr>
          <w:lang w:eastAsia="zh-TW"/>
        </w:rPr>
        <w:t>10-12</w:t>
      </w:r>
      <w:r>
        <w:rPr>
          <w:rFonts w:ascii="微軟正黑體" w:eastAsia="微軟正黑體" w:hint="eastAsia"/>
          <w:lang w:eastAsia="zh-TW"/>
        </w:rPr>
        <w:t>小時以減少不適。極少數用免疫球蛋白可能出現過敏反應，有皮疹、溶血、支氣管痙攣</w:t>
      </w:r>
      <w:r w:rsidR="002F1FA8">
        <w:rPr>
          <w:rFonts w:ascii="微軟正黑體" w:eastAsia="微軟正黑體" w:hint="eastAsia"/>
          <w:lang w:eastAsia="zh-TW"/>
        </w:rPr>
        <w:t>腎功能惡化或腦中風</w:t>
      </w:r>
      <w:r>
        <w:rPr>
          <w:rFonts w:ascii="微軟正黑體" w:eastAsia="微軟正黑體" w:hint="eastAsia"/>
          <w:lang w:eastAsia="zh-TW"/>
        </w:rPr>
        <w:t>等症狀。</w:t>
      </w:r>
    </w:p>
    <w:p w:rsidR="00FF6110" w:rsidRDefault="00FF6110">
      <w:pPr>
        <w:pStyle w:val="BodyText"/>
        <w:spacing w:before="7"/>
        <w:ind w:left="0"/>
        <w:rPr>
          <w:rFonts w:ascii="微軟正黑體"/>
          <w:sz w:val="27"/>
          <w:lang w:eastAsia="zh-TW"/>
        </w:rPr>
      </w:pPr>
    </w:p>
    <w:p w:rsidR="00FF6110" w:rsidRDefault="00CA181D">
      <w:pPr>
        <w:pStyle w:val="Heading1"/>
        <w:rPr>
          <w:lang w:eastAsia="zh-TW"/>
        </w:rPr>
      </w:pPr>
      <w:r>
        <w:rPr>
          <w:lang w:eastAsia="zh-TW"/>
        </w:rPr>
        <w:t>結語</w:t>
      </w:r>
    </w:p>
    <w:p w:rsidR="00FF6110" w:rsidRDefault="00CA181D">
      <w:pPr>
        <w:pStyle w:val="BodyText"/>
        <w:spacing w:before="75" w:line="177" w:lineRule="auto"/>
        <w:ind w:right="1308"/>
        <w:jc w:val="both"/>
        <w:rPr>
          <w:rFonts w:ascii="微軟正黑體" w:eastAsia="微軟正黑體"/>
          <w:lang w:eastAsia="zh-TW"/>
        </w:rPr>
      </w:pPr>
      <w:r>
        <w:rPr>
          <w:rFonts w:ascii="微軟正黑體" w:eastAsia="微軟正黑體" w:hint="eastAsia"/>
          <w:lang w:eastAsia="zh-TW"/>
        </w:rPr>
        <w:t>免疫球蛋白</w:t>
      </w:r>
      <w:r>
        <w:rPr>
          <w:lang w:eastAsia="zh-TW"/>
        </w:rPr>
        <w:t>(IVIG)</w:t>
      </w:r>
      <w:r>
        <w:rPr>
          <w:rFonts w:ascii="微軟正黑體" w:eastAsia="微軟正黑體" w:hint="eastAsia"/>
          <w:lang w:eastAsia="zh-TW"/>
        </w:rPr>
        <w:t>對於治療急性去髓鞘性神經炎與重症肌無力危象效果跟血漿置換術一樣好，為一線建議之治療藥物，其優點為副作用少、靜脈注射療程簡易，缺點為須自費價格昂貴。</w:t>
      </w:r>
    </w:p>
    <w:p w:rsidR="00FF6110" w:rsidRDefault="00CA181D">
      <w:pPr>
        <w:pStyle w:val="Heading1"/>
        <w:spacing w:before="89" w:line="1080" w:lineRule="atLeast"/>
        <w:ind w:right="7851"/>
      </w:pPr>
      <w:proofErr w:type="spellStart"/>
      <w:r>
        <w:t>參考文獻</w:t>
      </w:r>
      <w:proofErr w:type="spellEnd"/>
    </w:p>
    <w:p w:rsidR="00FF6110" w:rsidRDefault="00CA181D">
      <w:pPr>
        <w:pStyle w:val="ListParagraph"/>
        <w:numPr>
          <w:ilvl w:val="0"/>
          <w:numId w:val="1"/>
        </w:numPr>
        <w:tabs>
          <w:tab w:val="left" w:pos="339"/>
        </w:tabs>
        <w:ind w:right="1233" w:firstLine="0"/>
        <w:rPr>
          <w:sz w:val="21"/>
        </w:rPr>
      </w:pPr>
      <w:proofErr w:type="spellStart"/>
      <w:r>
        <w:rPr>
          <w:sz w:val="21"/>
        </w:rPr>
        <w:t>Patwa</w:t>
      </w:r>
      <w:proofErr w:type="spellEnd"/>
      <w:r>
        <w:rPr>
          <w:sz w:val="21"/>
        </w:rPr>
        <w:t xml:space="preserve"> HS, Chaudhry </w:t>
      </w:r>
      <w:r>
        <w:rPr>
          <w:spacing w:val="-10"/>
          <w:sz w:val="21"/>
        </w:rPr>
        <w:t xml:space="preserve">V, </w:t>
      </w:r>
      <w:proofErr w:type="spellStart"/>
      <w:r>
        <w:rPr>
          <w:sz w:val="21"/>
        </w:rPr>
        <w:t>Katzberg</w:t>
      </w:r>
      <w:proofErr w:type="spellEnd"/>
      <w:r>
        <w:rPr>
          <w:sz w:val="21"/>
        </w:rPr>
        <w:t xml:space="preserve"> H, Rae-Grant AD, So </w:t>
      </w:r>
      <w:r>
        <w:rPr>
          <w:spacing w:val="-8"/>
          <w:sz w:val="21"/>
        </w:rPr>
        <w:t xml:space="preserve">YT. </w:t>
      </w:r>
      <w:r>
        <w:rPr>
          <w:sz w:val="21"/>
        </w:rPr>
        <w:t xml:space="preserve">Evidence-based guideline: IV immunoglobulin in the treatment of neuromuscular disorders: report of </w:t>
      </w:r>
      <w:r>
        <w:rPr>
          <w:spacing w:val="-5"/>
          <w:sz w:val="21"/>
        </w:rPr>
        <w:t xml:space="preserve">the </w:t>
      </w:r>
      <w:r>
        <w:rPr>
          <w:sz w:val="21"/>
        </w:rPr>
        <w:t xml:space="preserve">Therapeutics and </w:t>
      </w:r>
      <w:r>
        <w:rPr>
          <w:spacing w:val="-3"/>
          <w:sz w:val="21"/>
        </w:rPr>
        <w:t xml:space="preserve">Technology </w:t>
      </w:r>
      <w:r>
        <w:rPr>
          <w:sz w:val="21"/>
        </w:rPr>
        <w:t>Assessment Subcommittee of the American Academy of Neurology. Neurology. 2012 Mar</w:t>
      </w:r>
      <w:r>
        <w:rPr>
          <w:spacing w:val="-3"/>
          <w:sz w:val="21"/>
        </w:rPr>
        <w:t xml:space="preserve"> </w:t>
      </w:r>
      <w:r>
        <w:rPr>
          <w:sz w:val="21"/>
        </w:rPr>
        <w:t>27</w:t>
      </w:r>
      <w:proofErr w:type="gramStart"/>
      <w:r>
        <w:rPr>
          <w:sz w:val="21"/>
        </w:rPr>
        <w:t>;78</w:t>
      </w:r>
      <w:proofErr w:type="gramEnd"/>
      <w:r>
        <w:rPr>
          <w:sz w:val="21"/>
        </w:rPr>
        <w:t>(13):1009-15.</w:t>
      </w:r>
    </w:p>
    <w:p w:rsidR="00FF6110" w:rsidRDefault="00CA181D">
      <w:pPr>
        <w:pStyle w:val="ListParagraph"/>
        <w:numPr>
          <w:ilvl w:val="0"/>
          <w:numId w:val="1"/>
        </w:numPr>
        <w:tabs>
          <w:tab w:val="left" w:pos="339"/>
        </w:tabs>
        <w:spacing w:before="145"/>
        <w:ind w:right="1249" w:firstLine="0"/>
        <w:rPr>
          <w:sz w:val="21"/>
        </w:rPr>
      </w:pPr>
      <w:r>
        <w:rPr>
          <w:sz w:val="21"/>
        </w:rPr>
        <w:t xml:space="preserve">Hughes RA, Swan </w:t>
      </w:r>
      <w:r>
        <w:rPr>
          <w:spacing w:val="-12"/>
          <w:sz w:val="21"/>
        </w:rPr>
        <w:t xml:space="preserve">AV, </w:t>
      </w:r>
      <w:r>
        <w:rPr>
          <w:sz w:val="21"/>
        </w:rPr>
        <w:t xml:space="preserve">van </w:t>
      </w:r>
      <w:proofErr w:type="spellStart"/>
      <w:r>
        <w:rPr>
          <w:sz w:val="21"/>
        </w:rPr>
        <w:t>Doorn</w:t>
      </w:r>
      <w:proofErr w:type="spellEnd"/>
      <w:r>
        <w:rPr>
          <w:sz w:val="21"/>
        </w:rPr>
        <w:t xml:space="preserve"> </w:t>
      </w:r>
      <w:r>
        <w:rPr>
          <w:spacing w:val="-6"/>
          <w:sz w:val="21"/>
        </w:rPr>
        <w:t xml:space="preserve">PA. </w:t>
      </w:r>
      <w:r>
        <w:rPr>
          <w:sz w:val="21"/>
        </w:rPr>
        <w:t xml:space="preserve">Intravenous immunoglobulin for </w:t>
      </w:r>
      <w:proofErr w:type="spellStart"/>
      <w:r>
        <w:rPr>
          <w:sz w:val="21"/>
        </w:rPr>
        <w:t>Guillain-Barré</w:t>
      </w:r>
      <w:proofErr w:type="spellEnd"/>
      <w:r>
        <w:rPr>
          <w:sz w:val="21"/>
        </w:rPr>
        <w:t xml:space="preserve"> syndrome. Cochrane Database </w:t>
      </w:r>
      <w:proofErr w:type="spellStart"/>
      <w:r>
        <w:rPr>
          <w:sz w:val="21"/>
        </w:rPr>
        <w:t>Syst</w:t>
      </w:r>
      <w:proofErr w:type="spellEnd"/>
      <w:r>
        <w:rPr>
          <w:sz w:val="21"/>
        </w:rPr>
        <w:t xml:space="preserve"> </w:t>
      </w:r>
      <w:r>
        <w:rPr>
          <w:spacing w:val="-4"/>
          <w:sz w:val="21"/>
        </w:rPr>
        <w:t xml:space="preserve">Rev. </w:t>
      </w:r>
      <w:r>
        <w:rPr>
          <w:sz w:val="21"/>
        </w:rPr>
        <w:t>2014 Sep</w:t>
      </w:r>
      <w:r>
        <w:rPr>
          <w:spacing w:val="4"/>
          <w:sz w:val="21"/>
        </w:rPr>
        <w:t xml:space="preserve"> </w:t>
      </w:r>
      <w:r>
        <w:rPr>
          <w:sz w:val="21"/>
        </w:rPr>
        <w:t>19</w:t>
      </w:r>
      <w:proofErr w:type="gramStart"/>
      <w:r>
        <w:rPr>
          <w:sz w:val="21"/>
        </w:rPr>
        <w:t>;9:CD002063</w:t>
      </w:r>
      <w:proofErr w:type="gramEnd"/>
      <w:r>
        <w:rPr>
          <w:sz w:val="21"/>
        </w:rPr>
        <w:t>.</w:t>
      </w:r>
    </w:p>
    <w:p w:rsidR="00FF6110" w:rsidRDefault="00CA181D">
      <w:pPr>
        <w:pStyle w:val="ListParagraph"/>
        <w:numPr>
          <w:ilvl w:val="0"/>
          <w:numId w:val="1"/>
        </w:numPr>
        <w:tabs>
          <w:tab w:val="left" w:pos="339"/>
        </w:tabs>
        <w:spacing w:before="147" w:line="241" w:lineRule="exact"/>
        <w:ind w:left="338" w:hanging="233"/>
        <w:rPr>
          <w:sz w:val="21"/>
        </w:rPr>
      </w:pPr>
      <w:proofErr w:type="spellStart"/>
      <w:r>
        <w:rPr>
          <w:sz w:val="21"/>
        </w:rPr>
        <w:t>Eftimov</w:t>
      </w:r>
      <w:proofErr w:type="spellEnd"/>
      <w:r>
        <w:rPr>
          <w:sz w:val="21"/>
        </w:rPr>
        <w:t xml:space="preserve"> </w:t>
      </w:r>
      <w:r>
        <w:rPr>
          <w:spacing w:val="-12"/>
          <w:sz w:val="21"/>
        </w:rPr>
        <w:t xml:space="preserve">F, </w:t>
      </w:r>
      <w:r>
        <w:rPr>
          <w:sz w:val="21"/>
        </w:rPr>
        <w:t xml:space="preserve">Winer JB, </w:t>
      </w:r>
      <w:proofErr w:type="spellStart"/>
      <w:r>
        <w:rPr>
          <w:sz w:val="21"/>
        </w:rPr>
        <w:t>Vermeulen</w:t>
      </w:r>
      <w:proofErr w:type="spellEnd"/>
      <w:r>
        <w:rPr>
          <w:sz w:val="21"/>
        </w:rPr>
        <w:t xml:space="preserve"> M, de </w:t>
      </w:r>
      <w:proofErr w:type="spellStart"/>
      <w:r>
        <w:rPr>
          <w:sz w:val="21"/>
        </w:rPr>
        <w:t>Haan</w:t>
      </w:r>
      <w:proofErr w:type="spellEnd"/>
      <w:r>
        <w:rPr>
          <w:sz w:val="21"/>
        </w:rPr>
        <w:t xml:space="preserve"> R, van Schaik</w:t>
      </w:r>
      <w:r>
        <w:rPr>
          <w:spacing w:val="10"/>
          <w:sz w:val="21"/>
        </w:rPr>
        <w:t xml:space="preserve"> </w:t>
      </w:r>
      <w:r>
        <w:rPr>
          <w:sz w:val="21"/>
        </w:rPr>
        <w:t>IN.</w:t>
      </w:r>
    </w:p>
    <w:p w:rsidR="00FF6110" w:rsidRDefault="00CA181D">
      <w:pPr>
        <w:pStyle w:val="BodyText"/>
        <w:ind w:right="1261"/>
      </w:pPr>
      <w:r>
        <w:t xml:space="preserve">Intravenous immunoglobulin for chronic inflammatory demyelinating </w:t>
      </w:r>
      <w:proofErr w:type="spellStart"/>
      <w:r>
        <w:t>polyradiculoneuropathy</w:t>
      </w:r>
      <w:proofErr w:type="spellEnd"/>
      <w:r>
        <w:t xml:space="preserve">. Cochrane Database </w:t>
      </w:r>
      <w:proofErr w:type="spellStart"/>
      <w:r>
        <w:t>Syst</w:t>
      </w:r>
      <w:proofErr w:type="spellEnd"/>
      <w:r>
        <w:t xml:space="preserve"> Rev. 2013 Dec 30</w:t>
      </w:r>
      <w:proofErr w:type="gramStart"/>
      <w:r>
        <w:t>;12:CD001797</w:t>
      </w:r>
      <w:proofErr w:type="gramEnd"/>
    </w:p>
    <w:sectPr w:rsidR="00FF6110">
      <w:pgSz w:w="11900" w:h="16840"/>
      <w:pgMar w:top="40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6CD6"/>
    <w:multiLevelType w:val="hybridMultilevel"/>
    <w:tmpl w:val="5350B182"/>
    <w:lvl w:ilvl="0" w:tplc="71182122">
      <w:start w:val="1"/>
      <w:numFmt w:val="decimal"/>
      <w:lvlText w:val="%1."/>
      <w:lvlJc w:val="left"/>
      <w:pPr>
        <w:ind w:left="105" w:hanging="234"/>
        <w:jc w:val="left"/>
      </w:pPr>
      <w:rPr>
        <w:rFonts w:ascii="Arial" w:eastAsia="Arial" w:hAnsi="Arial" w:cs="Arial" w:hint="default"/>
        <w:spacing w:val="-24"/>
        <w:w w:val="100"/>
        <w:sz w:val="21"/>
        <w:szCs w:val="21"/>
      </w:rPr>
    </w:lvl>
    <w:lvl w:ilvl="1" w:tplc="6308C3E2">
      <w:numFmt w:val="bullet"/>
      <w:lvlText w:val="•"/>
      <w:lvlJc w:val="left"/>
      <w:pPr>
        <w:ind w:left="1029" w:hanging="234"/>
      </w:pPr>
      <w:rPr>
        <w:rFonts w:hint="default"/>
      </w:rPr>
    </w:lvl>
    <w:lvl w:ilvl="2" w:tplc="46489000">
      <w:numFmt w:val="bullet"/>
      <w:lvlText w:val="•"/>
      <w:lvlJc w:val="left"/>
      <w:pPr>
        <w:ind w:left="1959" w:hanging="234"/>
      </w:pPr>
      <w:rPr>
        <w:rFonts w:hint="default"/>
      </w:rPr>
    </w:lvl>
    <w:lvl w:ilvl="3" w:tplc="C56A1250">
      <w:numFmt w:val="bullet"/>
      <w:lvlText w:val="•"/>
      <w:lvlJc w:val="left"/>
      <w:pPr>
        <w:ind w:left="2889" w:hanging="234"/>
      </w:pPr>
      <w:rPr>
        <w:rFonts w:hint="default"/>
      </w:rPr>
    </w:lvl>
    <w:lvl w:ilvl="4" w:tplc="C9EE3512">
      <w:numFmt w:val="bullet"/>
      <w:lvlText w:val="•"/>
      <w:lvlJc w:val="left"/>
      <w:pPr>
        <w:ind w:left="3819" w:hanging="234"/>
      </w:pPr>
      <w:rPr>
        <w:rFonts w:hint="default"/>
      </w:rPr>
    </w:lvl>
    <w:lvl w:ilvl="5" w:tplc="5D4242C4">
      <w:numFmt w:val="bullet"/>
      <w:lvlText w:val="•"/>
      <w:lvlJc w:val="left"/>
      <w:pPr>
        <w:ind w:left="4749" w:hanging="234"/>
      </w:pPr>
      <w:rPr>
        <w:rFonts w:hint="default"/>
      </w:rPr>
    </w:lvl>
    <w:lvl w:ilvl="6" w:tplc="C3CAC110">
      <w:numFmt w:val="bullet"/>
      <w:lvlText w:val="•"/>
      <w:lvlJc w:val="left"/>
      <w:pPr>
        <w:ind w:left="5679" w:hanging="234"/>
      </w:pPr>
      <w:rPr>
        <w:rFonts w:hint="default"/>
      </w:rPr>
    </w:lvl>
    <w:lvl w:ilvl="7" w:tplc="2D0A5C6E">
      <w:numFmt w:val="bullet"/>
      <w:lvlText w:val="•"/>
      <w:lvlJc w:val="left"/>
      <w:pPr>
        <w:ind w:left="6609" w:hanging="234"/>
      </w:pPr>
      <w:rPr>
        <w:rFonts w:hint="default"/>
      </w:rPr>
    </w:lvl>
    <w:lvl w:ilvl="8" w:tplc="6E460C1C">
      <w:numFmt w:val="bullet"/>
      <w:lvlText w:val="•"/>
      <w:lvlJc w:val="left"/>
      <w:pPr>
        <w:ind w:left="7539"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F6110"/>
    <w:rsid w:val="002F1FA8"/>
    <w:rsid w:val="00CA181D"/>
    <w:rsid w:val="00F45461"/>
    <w:rsid w:val="00FF6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D6242-3FBC-4CC5-9240-BE4378F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rFonts w:ascii="微軟正黑體" w:eastAsia="微軟正黑體" w:hAnsi="微軟正黑體" w:cs="微軟正黑體"/>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1"/>
    <w:qFormat/>
    <w:pPr>
      <w:spacing w:before="55"/>
      <w:ind w:left="1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4</cp:revision>
  <dcterms:created xsi:type="dcterms:W3CDTF">2023-03-08T16:03:00Z</dcterms:created>
  <dcterms:modified xsi:type="dcterms:W3CDTF">2023-03-13T16:40:00Z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